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A733" w14:textId="77777777" w:rsidR="00C14841" w:rsidRPr="00C14841" w:rsidRDefault="00C14841" w:rsidP="00C14841">
      <w:pPr>
        <w:tabs>
          <w:tab w:val="left" w:pos="9356"/>
        </w:tabs>
        <w:spacing w:before="0" w:after="160" w:line="259" w:lineRule="auto"/>
        <w:ind w:right="-23"/>
        <w:jc w:val="both"/>
        <w:rPr>
          <w:sz w:val="20"/>
          <w:szCs w:val="20"/>
        </w:rPr>
      </w:pPr>
      <w:r w:rsidRPr="00C14841">
        <w:rPr>
          <w:sz w:val="20"/>
          <w:szCs w:val="20"/>
        </w:rPr>
        <w:t>Anexa 8.1 – Autoevaluarea privind respectarea principiului DNSH</w:t>
      </w:r>
    </w:p>
    <w:p w14:paraId="5206F456" w14:textId="77777777" w:rsidR="000125BD" w:rsidRDefault="000125BD" w:rsidP="000125BD">
      <w:pPr>
        <w:pStyle w:val="Default"/>
      </w:pPr>
    </w:p>
    <w:p w14:paraId="5ED6D9DD" w14:textId="65D9732C" w:rsidR="00CC76C7" w:rsidRDefault="00901F28" w:rsidP="000125BD">
      <w:pPr>
        <w:pStyle w:val="Default"/>
        <w:jc w:val="center"/>
        <w:rPr>
          <w:rFonts w:ascii="Trebuchet MS" w:hAnsi="Trebuchet MS"/>
          <w:b/>
          <w:bCs/>
          <w:sz w:val="32"/>
          <w:szCs w:val="32"/>
        </w:rPr>
      </w:pPr>
      <w:r w:rsidRPr="00901F28">
        <w:rPr>
          <w:rFonts w:ascii="Trebuchet MS" w:hAnsi="Trebuchet MS"/>
          <w:b/>
          <w:bCs/>
          <w:sz w:val="32"/>
          <w:szCs w:val="32"/>
        </w:rPr>
        <w:t>Autoevaluarea privind respectarea principiului DNSH</w:t>
      </w:r>
    </w:p>
    <w:p w14:paraId="6FB5EDA4" w14:textId="77777777" w:rsidR="000125BD" w:rsidRDefault="000125BD" w:rsidP="000125BD">
      <w:pPr>
        <w:pStyle w:val="Default"/>
        <w:jc w:val="center"/>
        <w:rPr>
          <w:rFonts w:ascii="Trebuchet MS" w:hAnsi="Trebuchet MS"/>
          <w:sz w:val="32"/>
          <w:szCs w:val="32"/>
        </w:rPr>
      </w:pPr>
    </w:p>
    <w:p w14:paraId="02CEF666" w14:textId="77777777" w:rsidR="0095172D" w:rsidRPr="000125BD" w:rsidRDefault="0095172D" w:rsidP="000125BD">
      <w:pPr>
        <w:pStyle w:val="Default"/>
        <w:jc w:val="center"/>
        <w:rPr>
          <w:rFonts w:ascii="Trebuchet MS" w:hAnsi="Trebuchet MS"/>
          <w:sz w:val="32"/>
          <w:szCs w:val="32"/>
        </w:rPr>
      </w:pPr>
    </w:p>
    <w:p w14:paraId="0C97A1A5" w14:textId="0B8C51CE" w:rsidR="009025B3" w:rsidRDefault="009025B3" w:rsidP="009025B3">
      <w:pPr>
        <w:pStyle w:val="Default"/>
        <w:rPr>
          <w:b/>
          <w:bCs/>
          <w:sz w:val="23"/>
          <w:szCs w:val="23"/>
        </w:rPr>
      </w:pPr>
      <w:r>
        <w:rPr>
          <w:b/>
          <w:bCs/>
          <w:sz w:val="23"/>
          <w:szCs w:val="23"/>
        </w:rPr>
        <w:t xml:space="preserve">Titlu proiect: </w:t>
      </w:r>
    </w:p>
    <w:p w14:paraId="3738441C" w14:textId="12BE98E6" w:rsidR="009025B3" w:rsidRDefault="009025B3" w:rsidP="009025B3">
      <w:pPr>
        <w:pStyle w:val="Default"/>
        <w:rPr>
          <w:sz w:val="23"/>
          <w:szCs w:val="23"/>
        </w:rPr>
      </w:pPr>
    </w:p>
    <w:p w14:paraId="0499CA81" w14:textId="77777777" w:rsidR="009025B3" w:rsidRDefault="009025B3" w:rsidP="009025B3">
      <w:pPr>
        <w:pStyle w:val="Default"/>
        <w:rPr>
          <w:sz w:val="23"/>
          <w:szCs w:val="23"/>
        </w:rPr>
      </w:pPr>
      <w:r>
        <w:rPr>
          <w:b/>
          <w:bCs/>
          <w:sz w:val="23"/>
          <w:szCs w:val="23"/>
        </w:rPr>
        <w:t xml:space="preserve">Descrierea pe scurt a proiectului </w:t>
      </w:r>
    </w:p>
    <w:p w14:paraId="1AFA72A9" w14:textId="77777777" w:rsidR="009025B3" w:rsidRDefault="009025B3" w:rsidP="009025B3">
      <w:pPr>
        <w:pStyle w:val="Default"/>
        <w:rPr>
          <w:sz w:val="23"/>
          <w:szCs w:val="23"/>
        </w:rPr>
      </w:pPr>
      <w:r>
        <w:rPr>
          <w:b/>
          <w:bCs/>
          <w:i/>
          <w:iCs/>
          <w:color w:val="FF0000"/>
          <w:sz w:val="23"/>
          <w:szCs w:val="23"/>
        </w:rPr>
        <w:t>[</w:t>
      </w:r>
      <w:r>
        <w:rPr>
          <w:i/>
          <w:iCs/>
          <w:color w:val="FF0000"/>
          <w:sz w:val="23"/>
          <w:szCs w:val="23"/>
        </w:rPr>
        <w:t xml:space="preserve">Se vor prezenta pe scurt: </w:t>
      </w:r>
      <w:proofErr w:type="spellStart"/>
      <w:r>
        <w:rPr>
          <w:i/>
          <w:iCs/>
          <w:color w:val="FF0000"/>
          <w:sz w:val="23"/>
          <w:szCs w:val="23"/>
        </w:rPr>
        <w:t>locaţia</w:t>
      </w:r>
      <w:proofErr w:type="spellEnd"/>
      <w:r>
        <w:rPr>
          <w:i/>
          <w:iCs/>
          <w:color w:val="FF0000"/>
          <w:sz w:val="23"/>
          <w:szCs w:val="23"/>
        </w:rPr>
        <w:t xml:space="preserve"> proiectului, descrierea </w:t>
      </w:r>
      <w:proofErr w:type="spellStart"/>
      <w:r>
        <w:rPr>
          <w:i/>
          <w:iCs/>
          <w:color w:val="FF0000"/>
          <w:sz w:val="23"/>
          <w:szCs w:val="23"/>
        </w:rPr>
        <w:t>investiţiei</w:t>
      </w:r>
      <w:proofErr w:type="spellEnd"/>
      <w:r>
        <w:rPr>
          <w:i/>
          <w:iCs/>
          <w:color w:val="FF0000"/>
          <w:sz w:val="23"/>
          <w:szCs w:val="23"/>
        </w:rPr>
        <w:t xml:space="preserve"> propuse</w:t>
      </w:r>
      <w:r>
        <w:rPr>
          <w:b/>
          <w:bCs/>
          <w:i/>
          <w:iCs/>
          <w:color w:val="FF0000"/>
          <w:sz w:val="23"/>
          <w:szCs w:val="23"/>
        </w:rPr>
        <w:t xml:space="preserve">, </w:t>
      </w:r>
      <w:r>
        <w:rPr>
          <w:i/>
          <w:iCs/>
          <w:color w:val="FF0000"/>
          <w:sz w:val="23"/>
          <w:szCs w:val="23"/>
        </w:rPr>
        <w:t xml:space="preserve">menționarea celor trei indicatori estimați </w:t>
      </w:r>
      <w:r>
        <w:rPr>
          <w:sz w:val="23"/>
          <w:szCs w:val="23"/>
        </w:rPr>
        <w:t xml:space="preserve">] </w:t>
      </w:r>
    </w:p>
    <w:p w14:paraId="150D6EED" w14:textId="77777777" w:rsidR="009025B3" w:rsidRDefault="009025B3" w:rsidP="009025B3">
      <w:pPr>
        <w:pStyle w:val="Default"/>
        <w:rPr>
          <w:sz w:val="23"/>
          <w:szCs w:val="23"/>
        </w:rPr>
      </w:pPr>
      <w:r>
        <w:rPr>
          <w:b/>
          <w:bCs/>
          <w:sz w:val="23"/>
          <w:szCs w:val="23"/>
        </w:rPr>
        <w:t xml:space="preserve">-Partea 1 a listei de verificare- </w:t>
      </w:r>
    </w:p>
    <w:p w14:paraId="3F65300C" w14:textId="77777777" w:rsidR="009025B3" w:rsidRDefault="009025B3" w:rsidP="009025B3">
      <w:pPr>
        <w:pStyle w:val="Default"/>
        <w:rPr>
          <w:color w:val="FF0000"/>
          <w:sz w:val="23"/>
          <w:szCs w:val="23"/>
        </w:rPr>
      </w:pPr>
      <w:r>
        <w:rPr>
          <w:i/>
          <w:iCs/>
          <w:color w:val="FF0000"/>
          <w:sz w:val="23"/>
          <w:szCs w:val="23"/>
        </w:rPr>
        <w:t xml:space="preserve">[În cadrul </w:t>
      </w:r>
      <w:proofErr w:type="spellStart"/>
      <w:r>
        <w:rPr>
          <w:i/>
          <w:iCs/>
          <w:color w:val="FF0000"/>
          <w:sz w:val="23"/>
          <w:szCs w:val="23"/>
        </w:rPr>
        <w:t>părţii</w:t>
      </w:r>
      <w:proofErr w:type="spellEnd"/>
      <w:r>
        <w:rPr>
          <w:i/>
          <w:iCs/>
          <w:color w:val="FF0000"/>
          <w:sz w:val="23"/>
          <w:szCs w:val="23"/>
        </w:rPr>
        <w:t xml:space="preserve"> 1 a listei, se vor filtra cele șase obiective de mediu pentru a le identifica pe cele care necesită o evaluare de fond (prevăzută în partea a doua a listei). În cazul în care se răspunde cu DA pentru un obiectiv de mediu în </w:t>
      </w:r>
      <w:r>
        <w:rPr>
          <w:b/>
          <w:bCs/>
          <w:i/>
          <w:iCs/>
          <w:color w:val="FF0000"/>
          <w:sz w:val="23"/>
          <w:szCs w:val="23"/>
        </w:rPr>
        <w:t>Partea 1 a listei</w:t>
      </w:r>
      <w:r>
        <w:rPr>
          <w:i/>
          <w:iCs/>
          <w:color w:val="FF0000"/>
          <w:sz w:val="23"/>
          <w:szCs w:val="23"/>
        </w:rPr>
        <w:t xml:space="preserve">, respectivul obiectiv de mediu va parcurge </w:t>
      </w:r>
      <w:r>
        <w:rPr>
          <w:b/>
          <w:bCs/>
          <w:i/>
          <w:iCs/>
          <w:color w:val="FF0000"/>
          <w:sz w:val="23"/>
          <w:szCs w:val="23"/>
        </w:rPr>
        <w:t xml:space="preserve">evaluarea de fond </w:t>
      </w:r>
      <w:r>
        <w:rPr>
          <w:i/>
          <w:iCs/>
          <w:color w:val="FF0000"/>
          <w:sz w:val="23"/>
          <w:szCs w:val="23"/>
        </w:rPr>
        <w:t xml:space="preserve">din </w:t>
      </w:r>
      <w:r>
        <w:rPr>
          <w:b/>
          <w:bCs/>
          <w:i/>
          <w:iCs/>
          <w:color w:val="FF0000"/>
          <w:sz w:val="23"/>
          <w:szCs w:val="23"/>
        </w:rPr>
        <w:t>Partea 2 a listei</w:t>
      </w:r>
      <w:r>
        <w:rPr>
          <w:i/>
          <w:iCs/>
          <w:color w:val="FF0000"/>
          <w:sz w:val="23"/>
          <w:szCs w:val="23"/>
        </w:rPr>
        <w:t xml:space="preserve">. În cazul în care se răspunde cu NU pentru un obiectiv de mediu în Partea 1 a listei, acel obiectiv de mediu nu va mai parcurge evaluarea din Partea 2 a listei de verificare. </w:t>
      </w:r>
    </w:p>
    <w:p w14:paraId="44E5C88B" w14:textId="7A93B63F" w:rsidR="00284EB1" w:rsidRPr="00241AAD" w:rsidRDefault="009025B3" w:rsidP="007D0117">
      <w:pPr>
        <w:pStyle w:val="Default"/>
        <w:rPr>
          <w:i/>
          <w:iCs/>
          <w:color w:val="FF0000"/>
          <w:sz w:val="23"/>
          <w:szCs w:val="23"/>
        </w:rPr>
      </w:pPr>
      <w:proofErr w:type="spellStart"/>
      <w:r w:rsidRPr="00241AAD">
        <w:rPr>
          <w:i/>
          <w:iCs/>
          <w:color w:val="FF0000"/>
          <w:sz w:val="23"/>
          <w:szCs w:val="23"/>
        </w:rPr>
        <w:t>Observaţie</w:t>
      </w:r>
      <w:proofErr w:type="spellEnd"/>
      <w:r w:rsidRPr="00241AAD">
        <w:rPr>
          <w:i/>
          <w:iCs/>
          <w:color w:val="FF0000"/>
          <w:sz w:val="23"/>
          <w:szCs w:val="23"/>
        </w:rPr>
        <w:t xml:space="preserve">: </w:t>
      </w:r>
      <w:r>
        <w:rPr>
          <w:i/>
          <w:iCs/>
          <w:color w:val="FF0000"/>
          <w:sz w:val="23"/>
          <w:szCs w:val="23"/>
        </w:rPr>
        <w:t>În prezenta anexă, încadrarea în prima parte sau în cea de-a doua parte a listei de verificare s-a realizat având în vedere analiza DNSH</w:t>
      </w:r>
      <w:r w:rsidR="00241AAD">
        <w:rPr>
          <w:i/>
          <w:iCs/>
          <w:color w:val="FF0000"/>
          <w:sz w:val="23"/>
          <w:szCs w:val="23"/>
        </w:rPr>
        <w:t xml:space="preserve"> </w:t>
      </w:r>
      <w:r>
        <w:rPr>
          <w:i/>
          <w:iCs/>
          <w:color w:val="FF0000"/>
          <w:sz w:val="23"/>
          <w:szCs w:val="23"/>
        </w:rPr>
        <w:t xml:space="preserve">anexată la </w:t>
      </w:r>
      <w:r w:rsidR="007D0117" w:rsidRPr="007D0117">
        <w:rPr>
          <w:i/>
          <w:iCs/>
          <w:color w:val="FF0000"/>
          <w:sz w:val="23"/>
          <w:szCs w:val="23"/>
        </w:rPr>
        <w:t xml:space="preserve">Componenta C12 </w:t>
      </w:r>
      <w:r w:rsidR="007D0117">
        <w:rPr>
          <w:i/>
          <w:iCs/>
          <w:color w:val="FF0000"/>
          <w:sz w:val="23"/>
          <w:szCs w:val="23"/>
        </w:rPr>
        <w:t>–</w:t>
      </w:r>
      <w:r w:rsidR="007D0117" w:rsidRPr="007D0117">
        <w:rPr>
          <w:i/>
          <w:iCs/>
          <w:color w:val="FF0000"/>
          <w:sz w:val="23"/>
          <w:szCs w:val="23"/>
        </w:rPr>
        <w:t xml:space="preserve"> Sănătate</w:t>
      </w:r>
      <w:r w:rsidR="007D0117">
        <w:rPr>
          <w:i/>
          <w:iCs/>
          <w:color w:val="FF0000"/>
          <w:sz w:val="23"/>
          <w:szCs w:val="23"/>
        </w:rPr>
        <w:t xml:space="preserve">, </w:t>
      </w:r>
      <w:r w:rsidR="007D0117" w:rsidRPr="007D0117">
        <w:rPr>
          <w:i/>
          <w:iCs/>
          <w:color w:val="FF0000"/>
          <w:sz w:val="23"/>
          <w:szCs w:val="23"/>
        </w:rPr>
        <w:t>Investiția 1. Dezvoltarea infrastructurii medicale prespitalicești</w:t>
      </w:r>
      <w:r w:rsidR="007D0117">
        <w:rPr>
          <w:i/>
          <w:iCs/>
          <w:color w:val="FF0000"/>
          <w:sz w:val="23"/>
          <w:szCs w:val="23"/>
        </w:rPr>
        <w:t xml:space="preserve">, </w:t>
      </w:r>
      <w:r w:rsidR="007D0117" w:rsidRPr="007D0117">
        <w:rPr>
          <w:i/>
          <w:iCs/>
          <w:color w:val="FF0000"/>
          <w:sz w:val="23"/>
          <w:szCs w:val="23"/>
        </w:rPr>
        <w:t>I1.1: Cabinete ale medicilor de familie sau asocieri de cabinete de asistență medicală primară</w:t>
      </w:r>
      <w:r>
        <w:rPr>
          <w:i/>
          <w:iCs/>
          <w:color w:val="FF0000"/>
          <w:sz w:val="23"/>
          <w:szCs w:val="23"/>
        </w:rPr>
        <w:t>, iar</w:t>
      </w:r>
      <w:r w:rsidR="00241AAD">
        <w:rPr>
          <w:i/>
          <w:iCs/>
          <w:color w:val="FF0000"/>
          <w:sz w:val="23"/>
          <w:szCs w:val="23"/>
        </w:rPr>
        <w:t xml:space="preserve"> </w:t>
      </w:r>
      <w:proofErr w:type="spellStart"/>
      <w:r>
        <w:rPr>
          <w:i/>
          <w:iCs/>
          <w:color w:val="FF0000"/>
          <w:sz w:val="23"/>
          <w:szCs w:val="23"/>
        </w:rPr>
        <w:t>solicitanţii</w:t>
      </w:r>
      <w:proofErr w:type="spellEnd"/>
      <w:r>
        <w:rPr>
          <w:i/>
          <w:iCs/>
          <w:color w:val="FF0000"/>
          <w:sz w:val="23"/>
          <w:szCs w:val="23"/>
        </w:rPr>
        <w:t xml:space="preserve"> de </w:t>
      </w:r>
      <w:proofErr w:type="spellStart"/>
      <w:r>
        <w:rPr>
          <w:i/>
          <w:iCs/>
          <w:color w:val="FF0000"/>
          <w:sz w:val="23"/>
          <w:szCs w:val="23"/>
        </w:rPr>
        <w:t>finanţare</w:t>
      </w:r>
      <w:proofErr w:type="spellEnd"/>
      <w:r>
        <w:rPr>
          <w:i/>
          <w:iCs/>
          <w:color w:val="FF0000"/>
          <w:sz w:val="23"/>
          <w:szCs w:val="23"/>
        </w:rPr>
        <w:t xml:space="preserve"> au posibilitatea de a reîncadra, doar în mod justificat, obiectivele de mediu în cadrul celor 2 liste.]</w:t>
      </w:r>
    </w:p>
    <w:p w14:paraId="3A6C8F7D" w14:textId="77777777" w:rsidR="00CA67FD" w:rsidRDefault="00CA67FD" w:rsidP="00CC76C7">
      <w:pPr>
        <w:pStyle w:val="Default"/>
        <w:spacing w:line="360" w:lineRule="auto"/>
        <w:rPr>
          <w:rFonts w:ascii="Trebuchet MS" w:hAnsi="Trebuchet MS"/>
          <w:b/>
          <w:bCs/>
        </w:rPr>
      </w:pPr>
    </w:p>
    <w:tbl>
      <w:tblPr>
        <w:tblStyle w:val="Tabelgril"/>
        <w:tblW w:w="14879" w:type="dxa"/>
        <w:tblLook w:val="04A0" w:firstRow="1" w:lastRow="0" w:firstColumn="1" w:lastColumn="0" w:noHBand="0" w:noVBand="1"/>
      </w:tblPr>
      <w:tblGrid>
        <w:gridCol w:w="3604"/>
        <w:gridCol w:w="502"/>
        <w:gridCol w:w="489"/>
        <w:gridCol w:w="10284"/>
      </w:tblGrid>
      <w:tr w:rsidR="0090484E" w14:paraId="321A3B49" w14:textId="77777777" w:rsidTr="008D2EDE">
        <w:tc>
          <w:tcPr>
            <w:tcW w:w="3604" w:type="dxa"/>
          </w:tcPr>
          <w:p w14:paraId="11127C15" w14:textId="0B941BED" w:rsidR="0090484E" w:rsidRPr="000635B7" w:rsidRDefault="000635B7" w:rsidP="000635B7">
            <w:pPr>
              <w:pStyle w:val="Default"/>
              <w:rPr>
                <w:sz w:val="23"/>
                <w:szCs w:val="23"/>
              </w:rPr>
            </w:pPr>
            <w:r>
              <w:rPr>
                <w:b/>
                <w:bCs/>
                <w:i/>
                <w:iCs/>
                <w:sz w:val="23"/>
                <w:szCs w:val="23"/>
              </w:rPr>
              <w:t xml:space="preserve">Vă rugăm să indicați care dintre obiectivele de mediu de mai jos necesită o evaluare de fond a măsurii conform principiului DNSH </w:t>
            </w:r>
          </w:p>
        </w:tc>
        <w:tc>
          <w:tcPr>
            <w:tcW w:w="502" w:type="dxa"/>
          </w:tcPr>
          <w:p w14:paraId="0D2EDE84" w14:textId="3E81B80E" w:rsidR="0090484E" w:rsidRPr="008D2EDE" w:rsidRDefault="000635B7" w:rsidP="00CC76C7">
            <w:pPr>
              <w:pStyle w:val="Default"/>
              <w:spacing w:line="360" w:lineRule="auto"/>
              <w:rPr>
                <w:b/>
                <w:bCs/>
                <w:i/>
                <w:iCs/>
                <w:sz w:val="23"/>
                <w:szCs w:val="23"/>
              </w:rPr>
            </w:pPr>
            <w:r w:rsidRPr="008D2EDE">
              <w:rPr>
                <w:b/>
                <w:bCs/>
                <w:i/>
                <w:iCs/>
                <w:sz w:val="23"/>
                <w:szCs w:val="23"/>
              </w:rPr>
              <w:t>Da</w:t>
            </w:r>
          </w:p>
        </w:tc>
        <w:tc>
          <w:tcPr>
            <w:tcW w:w="489" w:type="dxa"/>
          </w:tcPr>
          <w:p w14:paraId="5A1B19DC" w14:textId="467B5769" w:rsidR="0090484E" w:rsidRPr="008D2EDE" w:rsidRDefault="000635B7" w:rsidP="00CC76C7">
            <w:pPr>
              <w:pStyle w:val="Default"/>
              <w:spacing w:line="360" w:lineRule="auto"/>
              <w:rPr>
                <w:b/>
                <w:bCs/>
                <w:i/>
                <w:iCs/>
                <w:sz w:val="23"/>
                <w:szCs w:val="23"/>
              </w:rPr>
            </w:pPr>
            <w:r w:rsidRPr="008D2EDE">
              <w:rPr>
                <w:b/>
                <w:bCs/>
                <w:i/>
                <w:iCs/>
                <w:sz w:val="23"/>
                <w:szCs w:val="23"/>
              </w:rPr>
              <w:t>Nu</w:t>
            </w:r>
          </w:p>
        </w:tc>
        <w:tc>
          <w:tcPr>
            <w:tcW w:w="10284" w:type="dxa"/>
          </w:tcPr>
          <w:p w14:paraId="5CBBF7B1" w14:textId="1EC178C6" w:rsidR="0090484E" w:rsidRPr="008D2EDE" w:rsidRDefault="008D2EDE" w:rsidP="00CC76C7">
            <w:pPr>
              <w:pStyle w:val="Default"/>
              <w:spacing w:line="360" w:lineRule="auto"/>
              <w:rPr>
                <w:b/>
                <w:bCs/>
                <w:i/>
                <w:iCs/>
                <w:sz w:val="23"/>
                <w:szCs w:val="23"/>
              </w:rPr>
            </w:pPr>
            <w:r w:rsidRPr="008D2EDE">
              <w:rPr>
                <w:b/>
                <w:bCs/>
                <w:i/>
                <w:iCs/>
                <w:sz w:val="23"/>
                <w:szCs w:val="23"/>
              </w:rPr>
              <w:t xml:space="preserve">Justificare în cazul selectării </w:t>
            </w:r>
            <w:r>
              <w:rPr>
                <w:b/>
                <w:bCs/>
                <w:i/>
                <w:iCs/>
                <w:sz w:val="23"/>
                <w:szCs w:val="23"/>
              </w:rPr>
              <w:t>r</w:t>
            </w:r>
            <w:r w:rsidRPr="008D2EDE">
              <w:rPr>
                <w:b/>
                <w:bCs/>
                <w:i/>
                <w:iCs/>
                <w:sz w:val="23"/>
                <w:szCs w:val="23"/>
              </w:rPr>
              <w:t>ăspunsului „Nu”</w:t>
            </w:r>
          </w:p>
        </w:tc>
      </w:tr>
      <w:tr w:rsidR="0090484E" w14:paraId="554BA432" w14:textId="77777777" w:rsidTr="008D2EDE">
        <w:tc>
          <w:tcPr>
            <w:tcW w:w="3604" w:type="dxa"/>
          </w:tcPr>
          <w:p w14:paraId="33612E45" w14:textId="2EA18271" w:rsidR="0090484E" w:rsidRPr="0030451B" w:rsidRDefault="004F7B6E" w:rsidP="00CC76C7">
            <w:pPr>
              <w:pStyle w:val="Default"/>
              <w:spacing w:line="360" w:lineRule="auto"/>
              <w:rPr>
                <w:i/>
                <w:iCs/>
                <w:sz w:val="23"/>
                <w:szCs w:val="23"/>
              </w:rPr>
            </w:pPr>
            <w:r w:rsidRPr="0030451B">
              <w:rPr>
                <w:i/>
                <w:iCs/>
                <w:sz w:val="23"/>
                <w:szCs w:val="23"/>
              </w:rPr>
              <w:t>Atenuarea schimbărilor climatice</w:t>
            </w:r>
          </w:p>
        </w:tc>
        <w:tc>
          <w:tcPr>
            <w:tcW w:w="502" w:type="dxa"/>
          </w:tcPr>
          <w:p w14:paraId="3238E33C" w14:textId="1B9E9293" w:rsidR="0090484E" w:rsidRDefault="000770F1" w:rsidP="00CC76C7">
            <w:pPr>
              <w:pStyle w:val="Default"/>
              <w:spacing w:line="360" w:lineRule="auto"/>
              <w:rPr>
                <w:rFonts w:ascii="Trebuchet MS" w:hAnsi="Trebuchet MS"/>
                <w:b/>
                <w:bCs/>
              </w:rPr>
            </w:pPr>
            <w:r>
              <w:rPr>
                <w:rFonts w:ascii="Trebuchet MS" w:hAnsi="Trebuchet MS"/>
                <w:b/>
                <w:bCs/>
              </w:rPr>
              <w:t>X</w:t>
            </w:r>
          </w:p>
        </w:tc>
        <w:tc>
          <w:tcPr>
            <w:tcW w:w="489" w:type="dxa"/>
          </w:tcPr>
          <w:p w14:paraId="4B724A4A" w14:textId="77777777" w:rsidR="0090484E" w:rsidRDefault="0090484E" w:rsidP="00CC76C7">
            <w:pPr>
              <w:pStyle w:val="Default"/>
              <w:spacing w:line="360" w:lineRule="auto"/>
              <w:rPr>
                <w:rFonts w:ascii="Trebuchet MS" w:hAnsi="Trebuchet MS"/>
                <w:b/>
                <w:bCs/>
              </w:rPr>
            </w:pPr>
          </w:p>
        </w:tc>
        <w:tc>
          <w:tcPr>
            <w:tcW w:w="10284" w:type="dxa"/>
          </w:tcPr>
          <w:p w14:paraId="7A98DC62" w14:textId="77777777" w:rsidR="0090484E" w:rsidRDefault="0090484E" w:rsidP="00CC76C7">
            <w:pPr>
              <w:pStyle w:val="Default"/>
              <w:spacing w:line="360" w:lineRule="auto"/>
              <w:rPr>
                <w:rFonts w:ascii="Trebuchet MS" w:hAnsi="Trebuchet MS"/>
                <w:b/>
                <w:bCs/>
              </w:rPr>
            </w:pPr>
          </w:p>
        </w:tc>
      </w:tr>
      <w:tr w:rsidR="0090484E" w14:paraId="4228979B" w14:textId="77777777" w:rsidTr="008D2EDE">
        <w:tc>
          <w:tcPr>
            <w:tcW w:w="3604" w:type="dxa"/>
          </w:tcPr>
          <w:p w14:paraId="51E6F119" w14:textId="5AC49607" w:rsidR="0090484E" w:rsidRPr="0030451B" w:rsidRDefault="008E0416" w:rsidP="00CC76C7">
            <w:pPr>
              <w:pStyle w:val="Default"/>
              <w:spacing w:line="360" w:lineRule="auto"/>
              <w:rPr>
                <w:i/>
                <w:iCs/>
                <w:sz w:val="23"/>
                <w:szCs w:val="23"/>
              </w:rPr>
            </w:pPr>
            <w:r w:rsidRPr="0030451B">
              <w:rPr>
                <w:i/>
                <w:iCs/>
                <w:sz w:val="23"/>
                <w:szCs w:val="23"/>
              </w:rPr>
              <w:t>Adaptarea la schimbările climatice</w:t>
            </w:r>
          </w:p>
        </w:tc>
        <w:tc>
          <w:tcPr>
            <w:tcW w:w="502" w:type="dxa"/>
          </w:tcPr>
          <w:p w14:paraId="23BC2B3E" w14:textId="2D69E04E" w:rsidR="0090484E" w:rsidRDefault="000770F1" w:rsidP="00CC76C7">
            <w:pPr>
              <w:pStyle w:val="Default"/>
              <w:spacing w:line="360" w:lineRule="auto"/>
              <w:rPr>
                <w:rFonts w:ascii="Trebuchet MS" w:hAnsi="Trebuchet MS"/>
                <w:b/>
                <w:bCs/>
              </w:rPr>
            </w:pPr>
            <w:r>
              <w:rPr>
                <w:rFonts w:ascii="Trebuchet MS" w:hAnsi="Trebuchet MS"/>
                <w:b/>
                <w:bCs/>
              </w:rPr>
              <w:t>X</w:t>
            </w:r>
          </w:p>
        </w:tc>
        <w:tc>
          <w:tcPr>
            <w:tcW w:w="489" w:type="dxa"/>
          </w:tcPr>
          <w:p w14:paraId="04D3B73A" w14:textId="77777777" w:rsidR="0090484E" w:rsidRDefault="0090484E" w:rsidP="00CC76C7">
            <w:pPr>
              <w:pStyle w:val="Default"/>
              <w:spacing w:line="360" w:lineRule="auto"/>
              <w:rPr>
                <w:rFonts w:ascii="Trebuchet MS" w:hAnsi="Trebuchet MS"/>
                <w:b/>
                <w:bCs/>
              </w:rPr>
            </w:pPr>
          </w:p>
        </w:tc>
        <w:tc>
          <w:tcPr>
            <w:tcW w:w="10284" w:type="dxa"/>
          </w:tcPr>
          <w:p w14:paraId="4928ED68" w14:textId="77777777" w:rsidR="0090484E" w:rsidRPr="000C4E75" w:rsidRDefault="0090484E" w:rsidP="000C4E75">
            <w:pPr>
              <w:pStyle w:val="Default"/>
              <w:rPr>
                <w:i/>
                <w:iCs/>
                <w:sz w:val="23"/>
                <w:szCs w:val="23"/>
              </w:rPr>
            </w:pPr>
          </w:p>
        </w:tc>
      </w:tr>
      <w:tr w:rsidR="0097742C" w14:paraId="2C2D7992" w14:textId="77777777" w:rsidTr="008D2EDE">
        <w:tc>
          <w:tcPr>
            <w:tcW w:w="3604" w:type="dxa"/>
          </w:tcPr>
          <w:p w14:paraId="2A4CF392" w14:textId="751DE350" w:rsidR="0097742C" w:rsidRPr="000C4E75" w:rsidRDefault="0097742C" w:rsidP="000C4E75">
            <w:pPr>
              <w:pStyle w:val="Default"/>
              <w:rPr>
                <w:i/>
                <w:iCs/>
                <w:sz w:val="23"/>
                <w:szCs w:val="23"/>
              </w:rPr>
            </w:pPr>
            <w:r w:rsidRPr="000C4E75">
              <w:rPr>
                <w:i/>
                <w:iCs/>
                <w:sz w:val="23"/>
                <w:szCs w:val="23"/>
              </w:rPr>
              <w:t>Utilizarea durabilă și protejarea resurselor de apă și a celor marine</w:t>
            </w:r>
          </w:p>
        </w:tc>
        <w:tc>
          <w:tcPr>
            <w:tcW w:w="502" w:type="dxa"/>
          </w:tcPr>
          <w:p w14:paraId="6528EED8" w14:textId="77777777" w:rsidR="0097742C" w:rsidRDefault="0097742C" w:rsidP="0097742C">
            <w:pPr>
              <w:pStyle w:val="Default"/>
              <w:spacing w:line="360" w:lineRule="auto"/>
              <w:rPr>
                <w:rFonts w:ascii="Trebuchet MS" w:hAnsi="Trebuchet MS"/>
                <w:b/>
                <w:bCs/>
              </w:rPr>
            </w:pPr>
          </w:p>
        </w:tc>
        <w:tc>
          <w:tcPr>
            <w:tcW w:w="489" w:type="dxa"/>
          </w:tcPr>
          <w:p w14:paraId="6E5FC742" w14:textId="219AF1CD" w:rsidR="0097742C" w:rsidRDefault="0097742C" w:rsidP="0097742C">
            <w:pPr>
              <w:pStyle w:val="Default"/>
              <w:spacing w:line="360" w:lineRule="auto"/>
              <w:rPr>
                <w:rFonts w:ascii="Trebuchet MS" w:hAnsi="Trebuchet MS"/>
                <w:b/>
                <w:bCs/>
              </w:rPr>
            </w:pPr>
            <w:r>
              <w:rPr>
                <w:rFonts w:ascii="Trebuchet MS" w:hAnsi="Trebuchet MS"/>
                <w:b/>
                <w:bCs/>
              </w:rPr>
              <w:t>X</w:t>
            </w:r>
          </w:p>
        </w:tc>
        <w:tc>
          <w:tcPr>
            <w:tcW w:w="10284" w:type="dxa"/>
          </w:tcPr>
          <w:p w14:paraId="43DB27A8" w14:textId="77777777" w:rsidR="0097742C" w:rsidRPr="000C4E75" w:rsidRDefault="0097742C" w:rsidP="000C4E75">
            <w:pPr>
              <w:pStyle w:val="Default"/>
              <w:rPr>
                <w:i/>
                <w:iCs/>
                <w:sz w:val="23"/>
                <w:szCs w:val="23"/>
              </w:rPr>
            </w:pPr>
            <w:r w:rsidRPr="000C4E75">
              <w:rPr>
                <w:i/>
                <w:iCs/>
                <w:sz w:val="23"/>
                <w:szCs w:val="23"/>
              </w:rPr>
              <w:t xml:space="preserve">Investițiile care beneficiază de sprijin în temeiul măsurii au un impact previzibil nesemnificativ asupra acestui obiectiv de mediu, ținând seama atât de efectele directe, cât și de cele primare indirecte pe întreaga </w:t>
            </w:r>
            <w:r w:rsidRPr="000C4E75">
              <w:rPr>
                <w:i/>
                <w:iCs/>
                <w:sz w:val="23"/>
                <w:szCs w:val="23"/>
              </w:rPr>
              <w:lastRenderedPageBreak/>
              <w:t>durată a ciclului de viață. Nu sunt identificate riscuri de degradare a mediului legate de protejarea calității apei și de stresul hidric.</w:t>
            </w:r>
          </w:p>
          <w:p w14:paraId="6B6C134E" w14:textId="498D2056" w:rsidR="0097742C" w:rsidRPr="000C4E75" w:rsidRDefault="0097742C" w:rsidP="000C4E75">
            <w:pPr>
              <w:pStyle w:val="Default"/>
              <w:rPr>
                <w:i/>
                <w:iCs/>
                <w:sz w:val="23"/>
                <w:szCs w:val="23"/>
              </w:rPr>
            </w:pPr>
            <w:r w:rsidRPr="000C4E75">
              <w:rPr>
                <w:i/>
                <w:iCs/>
                <w:sz w:val="23"/>
                <w:szCs w:val="23"/>
              </w:rPr>
              <w:t>În eventualitatea în care este aplicabil, pe parcursul etapei de implementare, deșeurile rezultate din demolare, precum și materialele necesare pentru construire, vor fi depozitate astfel încât să se evite infiltrațiile în stratul acvifer urmare a ploilor.</w:t>
            </w:r>
          </w:p>
        </w:tc>
      </w:tr>
      <w:tr w:rsidR="0097742C" w14:paraId="38DC8EBF" w14:textId="77777777" w:rsidTr="008D2EDE">
        <w:tc>
          <w:tcPr>
            <w:tcW w:w="3604" w:type="dxa"/>
          </w:tcPr>
          <w:p w14:paraId="1F55B3DE" w14:textId="7C64092B" w:rsidR="0097742C" w:rsidRPr="000C4E75" w:rsidRDefault="0097742C" w:rsidP="000C4E75">
            <w:pPr>
              <w:pStyle w:val="Default"/>
              <w:rPr>
                <w:i/>
                <w:iCs/>
                <w:sz w:val="23"/>
                <w:szCs w:val="23"/>
              </w:rPr>
            </w:pPr>
            <w:r w:rsidRPr="000C4E75">
              <w:rPr>
                <w:i/>
                <w:iCs/>
                <w:sz w:val="23"/>
                <w:szCs w:val="23"/>
              </w:rPr>
              <w:lastRenderedPageBreak/>
              <w:t>Economia circulară, inclusiv</w:t>
            </w:r>
            <w:r w:rsidR="000C4E75" w:rsidRPr="000C4E75">
              <w:rPr>
                <w:i/>
                <w:iCs/>
                <w:sz w:val="23"/>
                <w:szCs w:val="23"/>
              </w:rPr>
              <w:t xml:space="preserve"> </w:t>
            </w:r>
            <w:r w:rsidRPr="000C4E75">
              <w:rPr>
                <w:i/>
                <w:iCs/>
                <w:sz w:val="23"/>
                <w:szCs w:val="23"/>
              </w:rPr>
              <w:t>prevenirea și reciclarea deșeurilor</w:t>
            </w:r>
          </w:p>
        </w:tc>
        <w:tc>
          <w:tcPr>
            <w:tcW w:w="502" w:type="dxa"/>
          </w:tcPr>
          <w:p w14:paraId="35E207D1" w14:textId="51CECE13" w:rsidR="0097742C" w:rsidRDefault="000770F1" w:rsidP="0097742C">
            <w:pPr>
              <w:pStyle w:val="Default"/>
              <w:spacing w:line="360" w:lineRule="auto"/>
              <w:rPr>
                <w:rFonts w:ascii="Trebuchet MS" w:hAnsi="Trebuchet MS"/>
                <w:b/>
                <w:bCs/>
              </w:rPr>
            </w:pPr>
            <w:r>
              <w:rPr>
                <w:rFonts w:ascii="Trebuchet MS" w:hAnsi="Trebuchet MS"/>
                <w:b/>
                <w:bCs/>
              </w:rPr>
              <w:t>X</w:t>
            </w:r>
          </w:p>
        </w:tc>
        <w:tc>
          <w:tcPr>
            <w:tcW w:w="489" w:type="dxa"/>
          </w:tcPr>
          <w:p w14:paraId="3B52B14C" w14:textId="77777777" w:rsidR="0097742C" w:rsidRDefault="0097742C" w:rsidP="0097742C">
            <w:pPr>
              <w:pStyle w:val="Default"/>
              <w:spacing w:line="360" w:lineRule="auto"/>
              <w:rPr>
                <w:rFonts w:ascii="Trebuchet MS" w:hAnsi="Trebuchet MS"/>
                <w:b/>
                <w:bCs/>
              </w:rPr>
            </w:pPr>
          </w:p>
        </w:tc>
        <w:tc>
          <w:tcPr>
            <w:tcW w:w="10284" w:type="dxa"/>
          </w:tcPr>
          <w:p w14:paraId="6E687850" w14:textId="77777777" w:rsidR="0097742C" w:rsidRDefault="0097742C" w:rsidP="0097742C">
            <w:pPr>
              <w:pStyle w:val="Default"/>
              <w:spacing w:line="360" w:lineRule="auto"/>
              <w:rPr>
                <w:rFonts w:ascii="Trebuchet MS" w:hAnsi="Trebuchet MS"/>
                <w:b/>
                <w:bCs/>
              </w:rPr>
            </w:pPr>
          </w:p>
        </w:tc>
      </w:tr>
      <w:tr w:rsidR="0097742C" w14:paraId="1ECEE342" w14:textId="77777777" w:rsidTr="008D2EDE">
        <w:tc>
          <w:tcPr>
            <w:tcW w:w="3604" w:type="dxa"/>
          </w:tcPr>
          <w:p w14:paraId="005D0EA1" w14:textId="0ECB3EA5" w:rsidR="0097742C" w:rsidRPr="000C4E75" w:rsidRDefault="0097742C" w:rsidP="000C4E75">
            <w:pPr>
              <w:pStyle w:val="Default"/>
              <w:rPr>
                <w:i/>
                <w:iCs/>
                <w:sz w:val="23"/>
                <w:szCs w:val="23"/>
              </w:rPr>
            </w:pPr>
            <w:r w:rsidRPr="000C4E75">
              <w:rPr>
                <w:i/>
                <w:iCs/>
                <w:sz w:val="23"/>
                <w:szCs w:val="23"/>
              </w:rPr>
              <w:t>Prevenirea și controlul poluării în</w:t>
            </w:r>
            <w:r w:rsidR="000C4E75" w:rsidRPr="000C4E75">
              <w:rPr>
                <w:i/>
                <w:iCs/>
                <w:sz w:val="23"/>
                <w:szCs w:val="23"/>
              </w:rPr>
              <w:t xml:space="preserve"> </w:t>
            </w:r>
            <w:r w:rsidRPr="000C4E75">
              <w:rPr>
                <w:i/>
                <w:iCs/>
                <w:sz w:val="23"/>
                <w:szCs w:val="23"/>
              </w:rPr>
              <w:t>aer, apă sau sol</w:t>
            </w:r>
          </w:p>
        </w:tc>
        <w:tc>
          <w:tcPr>
            <w:tcW w:w="502" w:type="dxa"/>
          </w:tcPr>
          <w:p w14:paraId="0D06F6C8" w14:textId="05C4A285" w:rsidR="0097742C" w:rsidRDefault="000770F1" w:rsidP="0097742C">
            <w:pPr>
              <w:pStyle w:val="Default"/>
              <w:spacing w:line="360" w:lineRule="auto"/>
              <w:rPr>
                <w:rFonts w:ascii="Trebuchet MS" w:hAnsi="Trebuchet MS"/>
                <w:b/>
                <w:bCs/>
              </w:rPr>
            </w:pPr>
            <w:r>
              <w:rPr>
                <w:rFonts w:ascii="Trebuchet MS" w:hAnsi="Trebuchet MS"/>
                <w:b/>
                <w:bCs/>
              </w:rPr>
              <w:t>X</w:t>
            </w:r>
          </w:p>
        </w:tc>
        <w:tc>
          <w:tcPr>
            <w:tcW w:w="489" w:type="dxa"/>
          </w:tcPr>
          <w:p w14:paraId="5F36044A" w14:textId="77777777" w:rsidR="0097742C" w:rsidRDefault="0097742C" w:rsidP="0097742C">
            <w:pPr>
              <w:pStyle w:val="Default"/>
              <w:spacing w:line="360" w:lineRule="auto"/>
              <w:rPr>
                <w:rFonts w:ascii="Trebuchet MS" w:hAnsi="Trebuchet MS"/>
                <w:b/>
                <w:bCs/>
              </w:rPr>
            </w:pPr>
          </w:p>
        </w:tc>
        <w:tc>
          <w:tcPr>
            <w:tcW w:w="10284" w:type="dxa"/>
          </w:tcPr>
          <w:p w14:paraId="364F647D" w14:textId="77777777" w:rsidR="0097742C" w:rsidRDefault="0097742C" w:rsidP="0097742C">
            <w:pPr>
              <w:pStyle w:val="Default"/>
              <w:spacing w:line="360" w:lineRule="auto"/>
              <w:rPr>
                <w:rFonts w:ascii="Trebuchet MS" w:hAnsi="Trebuchet MS"/>
                <w:b/>
                <w:bCs/>
              </w:rPr>
            </w:pPr>
          </w:p>
        </w:tc>
      </w:tr>
      <w:tr w:rsidR="0097742C" w14:paraId="44C0125F" w14:textId="77777777" w:rsidTr="008D2EDE">
        <w:tc>
          <w:tcPr>
            <w:tcW w:w="3604" w:type="dxa"/>
          </w:tcPr>
          <w:p w14:paraId="45E1138C" w14:textId="70F85027" w:rsidR="0097742C" w:rsidRPr="000C4E75" w:rsidRDefault="0097742C" w:rsidP="000C4E75">
            <w:pPr>
              <w:pStyle w:val="Default"/>
              <w:rPr>
                <w:i/>
                <w:iCs/>
                <w:sz w:val="23"/>
                <w:szCs w:val="23"/>
              </w:rPr>
            </w:pPr>
            <w:r w:rsidRPr="000C4E75">
              <w:rPr>
                <w:i/>
                <w:iCs/>
                <w:sz w:val="23"/>
                <w:szCs w:val="23"/>
              </w:rPr>
              <w:t>Protecția și restaurarea</w:t>
            </w:r>
            <w:r w:rsidR="000C4E75" w:rsidRPr="000C4E75">
              <w:rPr>
                <w:i/>
                <w:iCs/>
                <w:sz w:val="23"/>
                <w:szCs w:val="23"/>
              </w:rPr>
              <w:t xml:space="preserve"> </w:t>
            </w:r>
            <w:r w:rsidRPr="000C4E75">
              <w:rPr>
                <w:i/>
                <w:iCs/>
                <w:sz w:val="23"/>
                <w:szCs w:val="23"/>
              </w:rPr>
              <w:t>biodiversității și a ecosistemelor</w:t>
            </w:r>
          </w:p>
        </w:tc>
        <w:tc>
          <w:tcPr>
            <w:tcW w:w="502" w:type="dxa"/>
          </w:tcPr>
          <w:p w14:paraId="66B7C330" w14:textId="77777777" w:rsidR="0097742C" w:rsidRDefault="0097742C" w:rsidP="0097742C">
            <w:pPr>
              <w:pStyle w:val="Default"/>
              <w:spacing w:line="360" w:lineRule="auto"/>
              <w:rPr>
                <w:rFonts w:ascii="Trebuchet MS" w:hAnsi="Trebuchet MS"/>
                <w:b/>
                <w:bCs/>
              </w:rPr>
            </w:pPr>
          </w:p>
        </w:tc>
        <w:tc>
          <w:tcPr>
            <w:tcW w:w="489" w:type="dxa"/>
          </w:tcPr>
          <w:p w14:paraId="32C806C5" w14:textId="0BA03AB0" w:rsidR="0097742C" w:rsidRDefault="0097742C" w:rsidP="0097742C">
            <w:pPr>
              <w:pStyle w:val="Default"/>
              <w:spacing w:line="360" w:lineRule="auto"/>
              <w:rPr>
                <w:rFonts w:ascii="Trebuchet MS" w:hAnsi="Trebuchet MS"/>
                <w:b/>
                <w:bCs/>
              </w:rPr>
            </w:pPr>
            <w:r>
              <w:rPr>
                <w:rFonts w:ascii="Trebuchet MS" w:hAnsi="Trebuchet MS"/>
                <w:b/>
                <w:bCs/>
              </w:rPr>
              <w:t>X</w:t>
            </w:r>
          </w:p>
        </w:tc>
        <w:tc>
          <w:tcPr>
            <w:tcW w:w="10284" w:type="dxa"/>
          </w:tcPr>
          <w:p w14:paraId="3EB8707C" w14:textId="3C66F658" w:rsidR="0097742C" w:rsidRPr="00D51859" w:rsidRDefault="00D51859" w:rsidP="00D51859">
            <w:pPr>
              <w:pStyle w:val="Default"/>
              <w:rPr>
                <w:i/>
                <w:iCs/>
                <w:sz w:val="23"/>
                <w:szCs w:val="23"/>
              </w:rPr>
            </w:pPr>
            <w:r w:rsidRPr="00D51859">
              <w:rPr>
                <w:i/>
                <w:iCs/>
                <w:sz w:val="23"/>
                <w:szCs w:val="23"/>
              </w:rPr>
              <w:t>Investițiile au un impact previzibil nesemnificativ asupra acestui obiectiv de mediu, ținând seama atât de efectele directe, cât și de cele primare indirecte, pe întreaga durată a ciclului de viață. Programul de renovare a clădirilor nu vizează clădirile situate în zone sensibile din punctul de vedere al biodiversității sau în apropierea acestora (inclusiv rețeaua de arii protejate Natura 2000, siturile înscrise pe Lista patrimoniului mondial UNESCO și principalele zone de biodiversitate, precum și alte zone protejate).</w:t>
            </w:r>
          </w:p>
        </w:tc>
      </w:tr>
    </w:tbl>
    <w:p w14:paraId="5CAD8336" w14:textId="77777777" w:rsidR="00CA67FD" w:rsidRDefault="00CA67FD" w:rsidP="00CC76C7">
      <w:pPr>
        <w:pStyle w:val="Default"/>
        <w:spacing w:line="360" w:lineRule="auto"/>
        <w:rPr>
          <w:rFonts w:ascii="Trebuchet MS" w:hAnsi="Trebuchet MS"/>
          <w:b/>
          <w:bCs/>
        </w:rPr>
      </w:pPr>
    </w:p>
    <w:p w14:paraId="55D26F4F" w14:textId="77777777" w:rsidR="00F9137A" w:rsidRDefault="00F9137A" w:rsidP="00F9137A">
      <w:pPr>
        <w:pStyle w:val="Default"/>
        <w:rPr>
          <w:sz w:val="23"/>
          <w:szCs w:val="23"/>
        </w:rPr>
      </w:pPr>
      <w:r>
        <w:rPr>
          <w:b/>
          <w:bCs/>
          <w:i/>
          <w:iCs/>
          <w:sz w:val="23"/>
          <w:szCs w:val="23"/>
        </w:rPr>
        <w:t xml:space="preserve">Partea 2 a listei de verificare – </w:t>
      </w:r>
    </w:p>
    <w:p w14:paraId="050516E0" w14:textId="77777777" w:rsidR="00F9137A" w:rsidRDefault="00F9137A" w:rsidP="007D0117">
      <w:pPr>
        <w:pStyle w:val="Default"/>
        <w:rPr>
          <w:color w:val="FF0000"/>
          <w:sz w:val="23"/>
          <w:szCs w:val="23"/>
        </w:rPr>
      </w:pPr>
      <w:r>
        <w:rPr>
          <w:i/>
          <w:iCs/>
          <w:color w:val="FF0000"/>
          <w:sz w:val="23"/>
          <w:szCs w:val="23"/>
        </w:rPr>
        <w:t xml:space="preserve">[Solicitantul de </w:t>
      </w:r>
      <w:proofErr w:type="spellStart"/>
      <w:r>
        <w:rPr>
          <w:i/>
          <w:iCs/>
          <w:color w:val="FF0000"/>
          <w:sz w:val="23"/>
          <w:szCs w:val="23"/>
        </w:rPr>
        <w:t>finanţare</w:t>
      </w:r>
      <w:proofErr w:type="spellEnd"/>
      <w:r>
        <w:rPr>
          <w:i/>
          <w:iCs/>
          <w:color w:val="FF0000"/>
          <w:sz w:val="23"/>
          <w:szCs w:val="23"/>
        </w:rPr>
        <w:t xml:space="preserve"> trebuie să furnizeze o </w:t>
      </w:r>
      <w:r>
        <w:rPr>
          <w:b/>
          <w:bCs/>
          <w:i/>
          <w:iCs/>
          <w:color w:val="FF0000"/>
          <w:sz w:val="23"/>
          <w:szCs w:val="23"/>
        </w:rPr>
        <w:t xml:space="preserve">evaluare de fond </w:t>
      </w:r>
      <w:r>
        <w:rPr>
          <w:i/>
          <w:iCs/>
          <w:color w:val="FF0000"/>
          <w:sz w:val="23"/>
          <w:szCs w:val="23"/>
        </w:rPr>
        <w:t xml:space="preserve">a proiectului/ofertei conform principiului DNSH, în cazul obiectivelor de mediu care necesită efectuarea acestei evaluări. </w:t>
      </w:r>
    </w:p>
    <w:p w14:paraId="14187BBE" w14:textId="2F4B40E7" w:rsidR="00284EB1" w:rsidRDefault="00F9137A" w:rsidP="007D0117">
      <w:pPr>
        <w:pStyle w:val="Default"/>
        <w:rPr>
          <w:i/>
          <w:iCs/>
          <w:color w:val="FF0000"/>
          <w:sz w:val="23"/>
          <w:szCs w:val="23"/>
        </w:rPr>
      </w:pPr>
      <w:r>
        <w:rPr>
          <w:i/>
          <w:iCs/>
          <w:color w:val="FF0000"/>
          <w:sz w:val="23"/>
          <w:szCs w:val="23"/>
        </w:rPr>
        <w:t xml:space="preserve">Astfel, solicitantul va răspunde la întrebările de mai jos, pentru acele obiective de mediu identificate în partea 1 ca necesitând o evaluare de fond, </w:t>
      </w:r>
      <w:proofErr w:type="spellStart"/>
      <w:r>
        <w:rPr>
          <w:i/>
          <w:iCs/>
          <w:color w:val="FF0000"/>
          <w:sz w:val="23"/>
          <w:szCs w:val="23"/>
        </w:rPr>
        <w:t>ţinând</w:t>
      </w:r>
      <w:proofErr w:type="spellEnd"/>
      <w:r>
        <w:rPr>
          <w:i/>
          <w:iCs/>
          <w:color w:val="FF0000"/>
          <w:sz w:val="23"/>
          <w:szCs w:val="23"/>
        </w:rPr>
        <w:t xml:space="preserve"> seama de </w:t>
      </w:r>
      <w:proofErr w:type="spellStart"/>
      <w:r>
        <w:rPr>
          <w:b/>
          <w:bCs/>
          <w:i/>
          <w:iCs/>
          <w:color w:val="FF0000"/>
          <w:sz w:val="23"/>
          <w:szCs w:val="23"/>
        </w:rPr>
        <w:t>cerinţele</w:t>
      </w:r>
      <w:proofErr w:type="spellEnd"/>
      <w:r>
        <w:rPr>
          <w:b/>
          <w:bCs/>
          <w:i/>
          <w:iCs/>
          <w:color w:val="FF0000"/>
          <w:sz w:val="23"/>
          <w:szCs w:val="23"/>
        </w:rPr>
        <w:t xml:space="preserve"> de examinare </w:t>
      </w:r>
      <w:r>
        <w:rPr>
          <w:i/>
          <w:iCs/>
          <w:color w:val="FF0000"/>
          <w:sz w:val="23"/>
          <w:szCs w:val="23"/>
        </w:rPr>
        <w:t xml:space="preserve">prevăzute în coloana privind </w:t>
      </w:r>
      <w:r>
        <w:rPr>
          <w:b/>
          <w:bCs/>
          <w:i/>
          <w:iCs/>
          <w:color w:val="FF0000"/>
          <w:sz w:val="23"/>
          <w:szCs w:val="23"/>
        </w:rPr>
        <w:t>evaluarea de fond</w:t>
      </w:r>
      <w:r>
        <w:rPr>
          <w:i/>
          <w:iCs/>
          <w:color w:val="FF0000"/>
          <w:sz w:val="23"/>
          <w:szCs w:val="23"/>
        </w:rPr>
        <w:t xml:space="preserve">, de mai jos, făcând totodată referire la </w:t>
      </w:r>
      <w:proofErr w:type="spellStart"/>
      <w:r>
        <w:rPr>
          <w:i/>
          <w:iCs/>
          <w:color w:val="FF0000"/>
          <w:sz w:val="23"/>
          <w:szCs w:val="23"/>
        </w:rPr>
        <w:t>documentaţia</w:t>
      </w:r>
      <w:proofErr w:type="spellEnd"/>
      <w:r>
        <w:rPr>
          <w:i/>
          <w:iCs/>
          <w:color w:val="FF0000"/>
          <w:sz w:val="23"/>
          <w:szCs w:val="23"/>
        </w:rPr>
        <w:t xml:space="preserve"> </w:t>
      </w:r>
      <w:proofErr w:type="spellStart"/>
      <w:r>
        <w:rPr>
          <w:i/>
          <w:iCs/>
          <w:color w:val="FF0000"/>
          <w:sz w:val="23"/>
          <w:szCs w:val="23"/>
        </w:rPr>
        <w:t>tehnico</w:t>
      </w:r>
      <w:proofErr w:type="spellEnd"/>
      <w:r>
        <w:rPr>
          <w:i/>
          <w:iCs/>
          <w:color w:val="FF0000"/>
          <w:sz w:val="23"/>
          <w:szCs w:val="23"/>
        </w:rPr>
        <w:t xml:space="preserve">-economică, avizele </w:t>
      </w:r>
      <w:proofErr w:type="spellStart"/>
      <w:r>
        <w:rPr>
          <w:i/>
          <w:iCs/>
          <w:color w:val="FF0000"/>
          <w:sz w:val="23"/>
          <w:szCs w:val="23"/>
        </w:rPr>
        <w:t>şi</w:t>
      </w:r>
      <w:proofErr w:type="spellEnd"/>
      <w:r>
        <w:rPr>
          <w:i/>
          <w:iCs/>
          <w:color w:val="FF0000"/>
          <w:sz w:val="23"/>
          <w:szCs w:val="23"/>
        </w:rPr>
        <w:t xml:space="preserve"> acordurile </w:t>
      </w:r>
      <w:proofErr w:type="spellStart"/>
      <w:r>
        <w:rPr>
          <w:i/>
          <w:iCs/>
          <w:color w:val="FF0000"/>
          <w:sz w:val="23"/>
          <w:szCs w:val="23"/>
        </w:rPr>
        <w:t>obţinute</w:t>
      </w:r>
      <w:proofErr w:type="spellEnd"/>
      <w:r>
        <w:rPr>
          <w:i/>
          <w:iCs/>
          <w:color w:val="FF0000"/>
          <w:sz w:val="23"/>
          <w:szCs w:val="23"/>
        </w:rPr>
        <w:t xml:space="preserve">/care vor fi </w:t>
      </w:r>
      <w:proofErr w:type="spellStart"/>
      <w:r>
        <w:rPr>
          <w:i/>
          <w:iCs/>
          <w:color w:val="FF0000"/>
          <w:sz w:val="23"/>
          <w:szCs w:val="23"/>
        </w:rPr>
        <w:t>obţinute</w:t>
      </w:r>
      <w:proofErr w:type="spellEnd"/>
      <w:r>
        <w:rPr>
          <w:i/>
          <w:iCs/>
          <w:color w:val="FF0000"/>
          <w:sz w:val="23"/>
          <w:szCs w:val="23"/>
        </w:rPr>
        <w:t xml:space="preserve"> pentru proiectul/oferta depusă.]</w:t>
      </w:r>
    </w:p>
    <w:p w14:paraId="7ABE8F31" w14:textId="77777777" w:rsidR="00F9137A" w:rsidRDefault="00F9137A" w:rsidP="00F9137A">
      <w:pPr>
        <w:pStyle w:val="Default"/>
        <w:spacing w:line="360" w:lineRule="auto"/>
        <w:rPr>
          <w:i/>
          <w:iCs/>
          <w:color w:val="FF0000"/>
          <w:sz w:val="23"/>
          <w:szCs w:val="23"/>
        </w:rPr>
      </w:pPr>
    </w:p>
    <w:tbl>
      <w:tblPr>
        <w:tblStyle w:val="Tabelgril"/>
        <w:tblW w:w="14377" w:type="dxa"/>
        <w:tblLook w:val="04A0" w:firstRow="1" w:lastRow="0" w:firstColumn="1" w:lastColumn="0" w:noHBand="0" w:noVBand="1"/>
      </w:tblPr>
      <w:tblGrid>
        <w:gridCol w:w="3604"/>
        <w:gridCol w:w="489"/>
        <w:gridCol w:w="10284"/>
      </w:tblGrid>
      <w:tr w:rsidR="00961984" w14:paraId="557968BD" w14:textId="77777777" w:rsidTr="00961984">
        <w:tc>
          <w:tcPr>
            <w:tcW w:w="3604" w:type="dxa"/>
          </w:tcPr>
          <w:p w14:paraId="0DA1B7DF" w14:textId="5F537D1C" w:rsidR="00961984" w:rsidRPr="000635B7" w:rsidRDefault="00961984" w:rsidP="004424D8">
            <w:pPr>
              <w:pStyle w:val="Default"/>
              <w:rPr>
                <w:sz w:val="23"/>
                <w:szCs w:val="23"/>
              </w:rPr>
            </w:pPr>
            <w:r w:rsidRPr="005E3051">
              <w:rPr>
                <w:b/>
                <w:bCs/>
                <w:i/>
                <w:iCs/>
                <w:sz w:val="23"/>
                <w:szCs w:val="23"/>
              </w:rPr>
              <w:t>Întrebări</w:t>
            </w:r>
          </w:p>
        </w:tc>
        <w:tc>
          <w:tcPr>
            <w:tcW w:w="489" w:type="dxa"/>
          </w:tcPr>
          <w:p w14:paraId="759BB43E" w14:textId="77777777" w:rsidR="00961984" w:rsidRPr="008D2EDE" w:rsidRDefault="00961984" w:rsidP="004424D8">
            <w:pPr>
              <w:pStyle w:val="Default"/>
              <w:spacing w:line="360" w:lineRule="auto"/>
              <w:rPr>
                <w:b/>
                <w:bCs/>
                <w:i/>
                <w:iCs/>
                <w:sz w:val="23"/>
                <w:szCs w:val="23"/>
              </w:rPr>
            </w:pPr>
            <w:r w:rsidRPr="008D2EDE">
              <w:rPr>
                <w:b/>
                <w:bCs/>
                <w:i/>
                <w:iCs/>
                <w:sz w:val="23"/>
                <w:szCs w:val="23"/>
              </w:rPr>
              <w:t>Nu</w:t>
            </w:r>
          </w:p>
        </w:tc>
        <w:tc>
          <w:tcPr>
            <w:tcW w:w="10284" w:type="dxa"/>
          </w:tcPr>
          <w:p w14:paraId="715E9B51" w14:textId="7966F116" w:rsidR="00961984" w:rsidRPr="008D2EDE" w:rsidRDefault="00961984" w:rsidP="004424D8">
            <w:pPr>
              <w:pStyle w:val="Default"/>
              <w:spacing w:line="360" w:lineRule="auto"/>
              <w:rPr>
                <w:b/>
                <w:bCs/>
                <w:i/>
                <w:iCs/>
                <w:sz w:val="23"/>
                <w:szCs w:val="23"/>
              </w:rPr>
            </w:pPr>
            <w:r w:rsidRPr="00961984">
              <w:rPr>
                <w:b/>
                <w:bCs/>
                <w:i/>
                <w:iCs/>
                <w:sz w:val="23"/>
                <w:szCs w:val="23"/>
              </w:rPr>
              <w:t>Evaluarea de fond</w:t>
            </w:r>
          </w:p>
        </w:tc>
      </w:tr>
      <w:tr w:rsidR="00961984" w14:paraId="2B4DA7C7" w14:textId="77777777" w:rsidTr="00961984">
        <w:tc>
          <w:tcPr>
            <w:tcW w:w="3604" w:type="dxa"/>
          </w:tcPr>
          <w:p w14:paraId="2DB3ED4F" w14:textId="66E2DD72" w:rsidR="00961984" w:rsidRDefault="00B051A5" w:rsidP="00B051A5">
            <w:pPr>
              <w:pStyle w:val="Default"/>
              <w:rPr>
                <w:rFonts w:ascii="Trebuchet MS" w:hAnsi="Trebuchet MS"/>
                <w:b/>
                <w:bCs/>
              </w:rPr>
            </w:pPr>
            <w:r w:rsidRPr="00B051A5">
              <w:rPr>
                <w:i/>
                <w:iCs/>
                <w:sz w:val="23"/>
                <w:szCs w:val="23"/>
              </w:rPr>
              <w:t>Atenuarea schimbărilor climatice: Se așteaptă ca măsura să conducă la emisii semnificative de GES?</w:t>
            </w:r>
          </w:p>
        </w:tc>
        <w:tc>
          <w:tcPr>
            <w:tcW w:w="489" w:type="dxa"/>
          </w:tcPr>
          <w:p w14:paraId="24BA4FDF" w14:textId="002B3CCB" w:rsidR="00961984" w:rsidRDefault="00B051A5" w:rsidP="004424D8">
            <w:pPr>
              <w:pStyle w:val="Default"/>
              <w:spacing w:line="360" w:lineRule="auto"/>
              <w:rPr>
                <w:rFonts w:ascii="Trebuchet MS" w:hAnsi="Trebuchet MS"/>
                <w:b/>
                <w:bCs/>
              </w:rPr>
            </w:pPr>
            <w:r>
              <w:rPr>
                <w:rFonts w:ascii="Trebuchet MS" w:hAnsi="Trebuchet MS"/>
                <w:b/>
                <w:bCs/>
              </w:rPr>
              <w:t>X</w:t>
            </w:r>
          </w:p>
        </w:tc>
        <w:tc>
          <w:tcPr>
            <w:tcW w:w="10284" w:type="dxa"/>
          </w:tcPr>
          <w:p w14:paraId="67BB0DD0" w14:textId="77777777" w:rsidR="00681D12" w:rsidRPr="00970118" w:rsidRDefault="00681D12" w:rsidP="00970118">
            <w:pPr>
              <w:pStyle w:val="Default"/>
              <w:rPr>
                <w:i/>
                <w:iCs/>
                <w:sz w:val="23"/>
                <w:szCs w:val="23"/>
              </w:rPr>
            </w:pPr>
            <w:r w:rsidRPr="00970118">
              <w:rPr>
                <w:i/>
                <w:iCs/>
                <w:sz w:val="23"/>
                <w:szCs w:val="23"/>
              </w:rPr>
              <w:t>Cu excepția investițiilor aferente cabinetelor de planificare familială și a caravanelor medicale, celelalte 3 tipuri de  intervenții sunt eligibile pentru domeniul de intervenție 025b și 026 conform  Anexei VI ”Metodologia pentru urmărirea cheltuielilor legate de climă ”, cu un coeficient al schimbărilor climatice de 40 %. Nu se preconizează că investițiile vor genera emisii semnificative de GES, deoarece:</w:t>
            </w:r>
          </w:p>
          <w:p w14:paraId="0E0DDA34" w14:textId="77777777" w:rsidR="00681D12" w:rsidRPr="00970118" w:rsidRDefault="00681D12" w:rsidP="00970118">
            <w:pPr>
              <w:pStyle w:val="Default"/>
              <w:rPr>
                <w:i/>
                <w:iCs/>
                <w:sz w:val="23"/>
                <w:szCs w:val="23"/>
              </w:rPr>
            </w:pPr>
            <w:r w:rsidRPr="00970118">
              <w:rPr>
                <w:i/>
                <w:iCs/>
                <w:sz w:val="23"/>
                <w:szCs w:val="23"/>
              </w:rPr>
              <w:t>— Clădirile nu sunt folosite pentru extracția, depozitarea, transportul sau producția de combustibili fosili.</w:t>
            </w:r>
          </w:p>
          <w:p w14:paraId="4478B71C" w14:textId="77777777" w:rsidR="00681D12" w:rsidRPr="00970118" w:rsidRDefault="00681D12" w:rsidP="00970118">
            <w:pPr>
              <w:pStyle w:val="Default"/>
              <w:rPr>
                <w:i/>
                <w:iCs/>
                <w:sz w:val="23"/>
                <w:szCs w:val="23"/>
              </w:rPr>
            </w:pPr>
            <w:r w:rsidRPr="00970118">
              <w:rPr>
                <w:i/>
                <w:iCs/>
                <w:sz w:val="23"/>
                <w:szCs w:val="23"/>
              </w:rPr>
              <w:lastRenderedPageBreak/>
              <w:t>— Programul de renovare are potențialul de a reduce consumul de energie, de a crește eficiența energetică, ducând la o îmbunătățire substanțială a performanței energetice a clădirilor în cauză și de a reduce în mod semnificativ emisiile de GES. Astfel programul de renovare va contribui la obiectivul național de creștere a eficienței energetice pe an, stabilit în conformitate cu Directiva privind eficiența energetică (2012/27/UE) și cu contribuțiile la Acordul de la Paris privind schimbările climatice, stabilite la nivel național</w:t>
            </w:r>
          </w:p>
          <w:p w14:paraId="66158C2E" w14:textId="77777777" w:rsidR="00681D12" w:rsidRPr="00970118" w:rsidRDefault="00681D12" w:rsidP="00970118">
            <w:pPr>
              <w:pStyle w:val="Default"/>
              <w:rPr>
                <w:i/>
                <w:iCs/>
                <w:sz w:val="23"/>
                <w:szCs w:val="23"/>
              </w:rPr>
            </w:pPr>
            <w:r w:rsidRPr="00970118">
              <w:rPr>
                <w:i/>
                <w:iCs/>
                <w:sz w:val="23"/>
                <w:szCs w:val="23"/>
              </w:rPr>
              <w:t xml:space="preserve">De asemenea, pentru a asigura mobilitatea personalului medical din cadrul cabinetelor de planificare familială se vor achiziționa autovehicule electrice și biciclete.  </w:t>
            </w:r>
          </w:p>
          <w:p w14:paraId="63AFA6D6" w14:textId="77777777" w:rsidR="00681D12" w:rsidRPr="00970118" w:rsidRDefault="00681D12" w:rsidP="00970118">
            <w:pPr>
              <w:pStyle w:val="Default"/>
              <w:rPr>
                <w:i/>
                <w:iCs/>
                <w:sz w:val="23"/>
                <w:szCs w:val="23"/>
              </w:rPr>
            </w:pPr>
            <w:r w:rsidRPr="00970118">
              <w:rPr>
                <w:i/>
                <w:iCs/>
                <w:sz w:val="23"/>
                <w:szCs w:val="23"/>
              </w:rPr>
              <w:t>Vehiculele utilizate pentru cabinetele de planificare familială trebuie să fie echipate cu cea mai bună tehnologie disponibilă din punct de vedere al mediului.</w:t>
            </w:r>
          </w:p>
          <w:p w14:paraId="1A96EEA3" w14:textId="64A04FAF" w:rsidR="00961984" w:rsidRDefault="00681D12" w:rsidP="00970118">
            <w:pPr>
              <w:pStyle w:val="Default"/>
              <w:rPr>
                <w:rFonts w:ascii="Trebuchet MS" w:hAnsi="Trebuchet MS"/>
                <w:b/>
                <w:bCs/>
              </w:rPr>
            </w:pPr>
            <w:r w:rsidRPr="00970118">
              <w:rPr>
                <w:i/>
                <w:iCs/>
                <w:sz w:val="23"/>
                <w:szCs w:val="23"/>
              </w:rPr>
              <w:t>Astfel, prin activitățile specifice nu există impact semnificativ negativ asupra emisiilor de GES.</w:t>
            </w:r>
          </w:p>
        </w:tc>
      </w:tr>
      <w:tr w:rsidR="00961984" w14:paraId="473C0989" w14:textId="77777777" w:rsidTr="00961984">
        <w:tc>
          <w:tcPr>
            <w:tcW w:w="3604" w:type="dxa"/>
          </w:tcPr>
          <w:p w14:paraId="5D2A387C" w14:textId="2F38FE39" w:rsidR="00961984" w:rsidRPr="00084AC3" w:rsidRDefault="005572D2" w:rsidP="00084AC3">
            <w:pPr>
              <w:pStyle w:val="Default"/>
              <w:rPr>
                <w:i/>
                <w:iCs/>
                <w:sz w:val="23"/>
                <w:szCs w:val="23"/>
              </w:rPr>
            </w:pPr>
            <w:r w:rsidRPr="00084AC3">
              <w:rPr>
                <w:i/>
                <w:iCs/>
                <w:sz w:val="23"/>
                <w:szCs w:val="23"/>
              </w:rPr>
              <w:lastRenderedPageBreak/>
              <w:t>Adaptarea la schimbările climatice. Se preconizează că măsura va duce la creșterea efectului negativ al climatului actual și al climatului viitor preconizat asupra măsurii în sine sau asupra persoanelor, asupra naturii sau asupra activelor?</w:t>
            </w:r>
          </w:p>
        </w:tc>
        <w:tc>
          <w:tcPr>
            <w:tcW w:w="489" w:type="dxa"/>
          </w:tcPr>
          <w:p w14:paraId="3C45E34A" w14:textId="7FCADBF0" w:rsidR="00961984" w:rsidRPr="00084AC3" w:rsidRDefault="00E20E20" w:rsidP="00084AC3">
            <w:pPr>
              <w:pStyle w:val="Default"/>
              <w:rPr>
                <w:i/>
                <w:iCs/>
                <w:sz w:val="23"/>
                <w:szCs w:val="23"/>
              </w:rPr>
            </w:pPr>
            <w:r>
              <w:rPr>
                <w:i/>
                <w:iCs/>
                <w:sz w:val="23"/>
                <w:szCs w:val="23"/>
              </w:rPr>
              <w:t>X</w:t>
            </w:r>
          </w:p>
        </w:tc>
        <w:tc>
          <w:tcPr>
            <w:tcW w:w="10284" w:type="dxa"/>
          </w:tcPr>
          <w:p w14:paraId="54B58C4E" w14:textId="77777777" w:rsidR="00A574A1" w:rsidRPr="00A574A1" w:rsidRDefault="00A574A1" w:rsidP="00084AC3">
            <w:pPr>
              <w:spacing w:before="0" w:after="0"/>
              <w:jc w:val="both"/>
              <w:rPr>
                <w:rFonts w:ascii="Calibri" w:hAnsi="Calibri"/>
                <w:i/>
                <w:iCs/>
                <w:color w:val="000000"/>
                <w:sz w:val="23"/>
                <w:szCs w:val="23"/>
              </w:rPr>
            </w:pPr>
            <w:r w:rsidRPr="00A574A1">
              <w:rPr>
                <w:rFonts w:ascii="Calibri" w:hAnsi="Calibri"/>
                <w:i/>
                <w:iCs/>
                <w:color w:val="000000"/>
                <w:sz w:val="23"/>
                <w:szCs w:val="23"/>
              </w:rPr>
              <w:t xml:space="preserve">Clima României este temperat-continentală de tranziție, marcată de unele influențe climatice oceanice, continentale, </w:t>
            </w:r>
            <w:proofErr w:type="spellStart"/>
            <w:r w:rsidRPr="00A574A1">
              <w:rPr>
                <w:rFonts w:ascii="Calibri" w:hAnsi="Calibri"/>
                <w:i/>
                <w:iCs/>
                <w:color w:val="000000"/>
                <w:sz w:val="23"/>
                <w:szCs w:val="23"/>
              </w:rPr>
              <w:t>scandinavo</w:t>
            </w:r>
            <w:proofErr w:type="spellEnd"/>
            <w:r w:rsidRPr="00A574A1">
              <w:rPr>
                <w:rFonts w:ascii="Calibri" w:hAnsi="Calibri"/>
                <w:i/>
                <w:iCs/>
                <w:color w:val="000000"/>
                <w:sz w:val="23"/>
                <w:szCs w:val="23"/>
              </w:rPr>
              <w:t xml:space="preserve">-baltice, submediteraneene </w:t>
            </w:r>
            <w:proofErr w:type="spellStart"/>
            <w:r w:rsidRPr="00A574A1">
              <w:rPr>
                <w:rFonts w:ascii="Calibri" w:hAnsi="Calibri"/>
                <w:i/>
                <w:iCs/>
                <w:color w:val="000000"/>
                <w:sz w:val="23"/>
                <w:szCs w:val="23"/>
              </w:rPr>
              <w:t>şi</w:t>
            </w:r>
            <w:proofErr w:type="spellEnd"/>
            <w:r w:rsidRPr="00A574A1">
              <w:rPr>
                <w:rFonts w:ascii="Calibri" w:hAnsi="Calibri"/>
                <w:i/>
                <w:iCs/>
                <w:color w:val="000000"/>
                <w:sz w:val="23"/>
                <w:szCs w:val="23"/>
              </w:rPr>
              <w:t xml:space="preserve"> pontice. Astfel, în Banat </w:t>
            </w:r>
            <w:proofErr w:type="spellStart"/>
            <w:r w:rsidRPr="00A574A1">
              <w:rPr>
                <w:rFonts w:ascii="Calibri" w:hAnsi="Calibri"/>
                <w:i/>
                <w:iCs/>
                <w:color w:val="000000"/>
                <w:sz w:val="23"/>
                <w:szCs w:val="23"/>
              </w:rPr>
              <w:t>şi</w:t>
            </w:r>
            <w:proofErr w:type="spellEnd"/>
            <w:r w:rsidRPr="00A574A1">
              <w:rPr>
                <w:rFonts w:ascii="Calibri" w:hAnsi="Calibri"/>
                <w:i/>
                <w:iCs/>
                <w:color w:val="000000"/>
                <w:sz w:val="23"/>
                <w:szCs w:val="23"/>
              </w:rPr>
              <w:t xml:space="preserve"> Oltenia se face </w:t>
            </w:r>
            <w:proofErr w:type="spellStart"/>
            <w:r w:rsidRPr="00A574A1">
              <w:rPr>
                <w:rFonts w:ascii="Calibri" w:hAnsi="Calibri"/>
                <w:i/>
                <w:iCs/>
                <w:color w:val="000000"/>
                <w:sz w:val="23"/>
                <w:szCs w:val="23"/>
              </w:rPr>
              <w:t>simţită</w:t>
            </w:r>
            <w:proofErr w:type="spellEnd"/>
            <w:r w:rsidRPr="00A574A1">
              <w:rPr>
                <w:rFonts w:ascii="Calibri" w:hAnsi="Calibri"/>
                <w:i/>
                <w:iCs/>
                <w:color w:val="000000"/>
                <w:sz w:val="23"/>
                <w:szCs w:val="23"/>
              </w:rPr>
              <w:t xml:space="preserve"> </w:t>
            </w:r>
            <w:proofErr w:type="spellStart"/>
            <w:r w:rsidRPr="00A574A1">
              <w:rPr>
                <w:rFonts w:ascii="Calibri" w:hAnsi="Calibri"/>
                <w:i/>
                <w:iCs/>
                <w:color w:val="000000"/>
                <w:sz w:val="23"/>
                <w:szCs w:val="23"/>
              </w:rPr>
              <w:t>nuanţa</w:t>
            </w:r>
            <w:proofErr w:type="spellEnd"/>
            <w:r w:rsidRPr="00A574A1">
              <w:rPr>
                <w:rFonts w:ascii="Calibri" w:hAnsi="Calibri"/>
                <w:i/>
                <w:iCs/>
                <w:color w:val="000000"/>
                <w:sz w:val="23"/>
                <w:szCs w:val="23"/>
              </w:rPr>
              <w:t xml:space="preserve"> </w:t>
            </w:r>
            <w:proofErr w:type="spellStart"/>
            <w:r w:rsidRPr="00A574A1">
              <w:rPr>
                <w:rFonts w:ascii="Calibri" w:hAnsi="Calibri"/>
                <w:i/>
                <w:iCs/>
                <w:color w:val="000000"/>
                <w:sz w:val="23"/>
                <w:szCs w:val="23"/>
              </w:rPr>
              <w:t>mediteraneană</w:t>
            </w:r>
            <w:proofErr w:type="spellEnd"/>
            <w:r w:rsidRPr="00A574A1">
              <w:rPr>
                <w:rFonts w:ascii="Calibri" w:hAnsi="Calibri"/>
                <w:i/>
                <w:iCs/>
                <w:color w:val="000000"/>
                <w:sz w:val="23"/>
                <w:szCs w:val="23"/>
              </w:rPr>
              <w:t xml:space="preserve">, caracterizată de ierni blânde </w:t>
            </w:r>
            <w:proofErr w:type="spellStart"/>
            <w:r w:rsidRPr="00A574A1">
              <w:rPr>
                <w:rFonts w:ascii="Calibri" w:hAnsi="Calibri"/>
                <w:i/>
                <w:iCs/>
                <w:color w:val="000000"/>
                <w:sz w:val="23"/>
                <w:szCs w:val="23"/>
              </w:rPr>
              <w:t>şi</w:t>
            </w:r>
            <w:proofErr w:type="spellEnd"/>
            <w:r w:rsidRPr="00A574A1">
              <w:rPr>
                <w:rFonts w:ascii="Calibri" w:hAnsi="Calibri"/>
                <w:i/>
                <w:iCs/>
                <w:color w:val="000000"/>
                <w:sz w:val="23"/>
                <w:szCs w:val="23"/>
              </w:rPr>
              <w:t xml:space="preserve"> regim pluviometric mai bogat (mai ales toamna). În Dobrogea se manifestă </w:t>
            </w:r>
            <w:proofErr w:type="spellStart"/>
            <w:r w:rsidRPr="00A574A1">
              <w:rPr>
                <w:rFonts w:ascii="Calibri" w:hAnsi="Calibri"/>
                <w:i/>
                <w:iCs/>
                <w:color w:val="000000"/>
                <w:sz w:val="23"/>
                <w:szCs w:val="23"/>
              </w:rPr>
              <w:t>nuanţa</w:t>
            </w:r>
            <w:proofErr w:type="spellEnd"/>
            <w:r w:rsidRPr="00A574A1">
              <w:rPr>
                <w:rFonts w:ascii="Calibri" w:hAnsi="Calibri"/>
                <w:i/>
                <w:iCs/>
                <w:color w:val="000000"/>
                <w:sz w:val="23"/>
                <w:szCs w:val="23"/>
              </w:rPr>
              <w:t xml:space="preserve"> pontică, cu ploi rare, dar </w:t>
            </w:r>
            <w:proofErr w:type="spellStart"/>
            <w:r w:rsidRPr="00A574A1">
              <w:rPr>
                <w:rFonts w:ascii="Calibri" w:hAnsi="Calibri"/>
                <w:i/>
                <w:iCs/>
                <w:color w:val="000000"/>
                <w:sz w:val="23"/>
                <w:szCs w:val="23"/>
              </w:rPr>
              <w:t>torenţiale.În</w:t>
            </w:r>
            <w:proofErr w:type="spellEnd"/>
            <w:r w:rsidRPr="00A574A1">
              <w:rPr>
                <w:rFonts w:ascii="Calibri" w:hAnsi="Calibri"/>
                <w:i/>
                <w:iCs/>
                <w:color w:val="000000"/>
                <w:sz w:val="23"/>
                <w:szCs w:val="23"/>
              </w:rPr>
              <w:t xml:space="preserve"> regiuni din estul </w:t>
            </w:r>
            <w:proofErr w:type="spellStart"/>
            <w:r w:rsidRPr="00A574A1">
              <w:rPr>
                <w:rFonts w:ascii="Calibri" w:hAnsi="Calibri"/>
                <w:i/>
                <w:iCs/>
                <w:color w:val="000000"/>
                <w:sz w:val="23"/>
                <w:szCs w:val="23"/>
              </w:rPr>
              <w:t>ţǎrii</w:t>
            </w:r>
            <w:proofErr w:type="spellEnd"/>
            <w:r w:rsidRPr="00A574A1">
              <w:rPr>
                <w:rFonts w:ascii="Calibri" w:hAnsi="Calibri"/>
                <w:i/>
                <w:iCs/>
                <w:color w:val="000000"/>
                <w:sz w:val="23"/>
                <w:szCs w:val="23"/>
              </w:rPr>
              <w:t xml:space="preserve">, caracterul continental este mai </w:t>
            </w:r>
            <w:proofErr w:type="spellStart"/>
            <w:r w:rsidRPr="00A574A1">
              <w:rPr>
                <w:rFonts w:ascii="Calibri" w:hAnsi="Calibri"/>
                <w:i/>
                <w:iCs/>
                <w:color w:val="000000"/>
                <w:sz w:val="23"/>
                <w:szCs w:val="23"/>
              </w:rPr>
              <w:t>pronunţat</w:t>
            </w:r>
            <w:proofErr w:type="spellEnd"/>
            <w:r w:rsidRPr="00A574A1">
              <w:rPr>
                <w:rFonts w:ascii="Calibri" w:hAnsi="Calibri"/>
                <w:i/>
                <w:iCs/>
                <w:color w:val="000000"/>
                <w:sz w:val="23"/>
                <w:szCs w:val="23"/>
              </w:rPr>
              <w:t xml:space="preserve">. În partea de nord a </w:t>
            </w:r>
            <w:proofErr w:type="spellStart"/>
            <w:r w:rsidRPr="00A574A1">
              <w:rPr>
                <w:rFonts w:ascii="Calibri" w:hAnsi="Calibri"/>
                <w:i/>
                <w:iCs/>
                <w:color w:val="000000"/>
                <w:sz w:val="23"/>
                <w:szCs w:val="23"/>
              </w:rPr>
              <w:t>ţării</w:t>
            </w:r>
            <w:proofErr w:type="spellEnd"/>
            <w:r w:rsidRPr="00A574A1">
              <w:rPr>
                <w:rFonts w:ascii="Calibri" w:hAnsi="Calibri"/>
                <w:i/>
                <w:iCs/>
                <w:color w:val="000000"/>
                <w:sz w:val="23"/>
                <w:szCs w:val="23"/>
              </w:rPr>
              <w:t xml:space="preserve"> (</w:t>
            </w:r>
            <w:proofErr w:type="spellStart"/>
            <w:r w:rsidRPr="00A574A1">
              <w:rPr>
                <w:rFonts w:ascii="Calibri" w:hAnsi="Calibri"/>
                <w:i/>
                <w:iCs/>
                <w:color w:val="000000"/>
                <w:sz w:val="23"/>
                <w:szCs w:val="23"/>
              </w:rPr>
              <w:t>Maramureş</w:t>
            </w:r>
            <w:proofErr w:type="spellEnd"/>
            <w:r w:rsidRPr="00A574A1">
              <w:rPr>
                <w:rFonts w:ascii="Calibri" w:hAnsi="Calibri"/>
                <w:i/>
                <w:iCs/>
                <w:color w:val="000000"/>
                <w:sz w:val="23"/>
                <w:szCs w:val="23"/>
              </w:rPr>
              <w:t xml:space="preserve"> </w:t>
            </w:r>
            <w:proofErr w:type="spellStart"/>
            <w:r w:rsidRPr="00A574A1">
              <w:rPr>
                <w:rFonts w:ascii="Calibri" w:hAnsi="Calibri"/>
                <w:i/>
                <w:iCs/>
                <w:color w:val="000000"/>
                <w:sz w:val="23"/>
                <w:szCs w:val="23"/>
              </w:rPr>
              <w:t>şi</w:t>
            </w:r>
            <w:proofErr w:type="spellEnd"/>
            <w:r w:rsidRPr="00A574A1">
              <w:rPr>
                <w:rFonts w:ascii="Calibri" w:hAnsi="Calibri"/>
                <w:i/>
                <w:iCs/>
                <w:color w:val="000000"/>
                <w:sz w:val="23"/>
                <w:szCs w:val="23"/>
              </w:rPr>
              <w:t xml:space="preserve"> Bucovina) se manifestă efectele </w:t>
            </w:r>
            <w:proofErr w:type="spellStart"/>
            <w:r w:rsidRPr="00A574A1">
              <w:rPr>
                <w:rFonts w:ascii="Calibri" w:hAnsi="Calibri"/>
                <w:i/>
                <w:iCs/>
                <w:color w:val="000000"/>
                <w:sz w:val="23"/>
                <w:szCs w:val="23"/>
              </w:rPr>
              <w:t>nuanţei</w:t>
            </w:r>
            <w:proofErr w:type="spellEnd"/>
            <w:r w:rsidRPr="00A574A1">
              <w:rPr>
                <w:rFonts w:ascii="Calibri" w:hAnsi="Calibri"/>
                <w:i/>
                <w:iCs/>
                <w:color w:val="000000"/>
                <w:sz w:val="23"/>
                <w:szCs w:val="23"/>
              </w:rPr>
              <w:t xml:space="preserve"> </w:t>
            </w:r>
            <w:proofErr w:type="spellStart"/>
            <w:r w:rsidRPr="00A574A1">
              <w:rPr>
                <w:rFonts w:ascii="Calibri" w:hAnsi="Calibri"/>
                <w:i/>
                <w:iCs/>
                <w:color w:val="000000"/>
                <w:sz w:val="23"/>
                <w:szCs w:val="23"/>
              </w:rPr>
              <w:t>scandinavo</w:t>
            </w:r>
            <w:proofErr w:type="spellEnd"/>
            <w:r w:rsidRPr="00A574A1">
              <w:rPr>
                <w:rFonts w:ascii="Calibri" w:hAnsi="Calibri"/>
                <w:i/>
                <w:iCs/>
                <w:color w:val="000000"/>
                <w:sz w:val="23"/>
                <w:szCs w:val="23"/>
              </w:rPr>
              <w:t xml:space="preserve">-baltice, care determină un climat mai umed </w:t>
            </w:r>
            <w:proofErr w:type="spellStart"/>
            <w:r w:rsidRPr="00A574A1">
              <w:rPr>
                <w:rFonts w:ascii="Calibri" w:hAnsi="Calibri"/>
                <w:i/>
                <w:iCs/>
                <w:color w:val="000000"/>
                <w:sz w:val="23"/>
                <w:szCs w:val="23"/>
              </w:rPr>
              <w:t>şi</w:t>
            </w:r>
            <w:proofErr w:type="spellEnd"/>
            <w:r w:rsidRPr="00A574A1">
              <w:rPr>
                <w:rFonts w:ascii="Calibri" w:hAnsi="Calibri"/>
                <w:i/>
                <w:iCs/>
                <w:color w:val="000000"/>
                <w:sz w:val="23"/>
                <w:szCs w:val="23"/>
              </w:rPr>
              <w:t xml:space="preserve"> mai rece, cu ierni geroase. În vestul </w:t>
            </w:r>
            <w:proofErr w:type="spellStart"/>
            <w:r w:rsidRPr="00A574A1">
              <w:rPr>
                <w:rFonts w:ascii="Calibri" w:hAnsi="Calibri"/>
                <w:i/>
                <w:iCs/>
                <w:color w:val="000000"/>
                <w:sz w:val="23"/>
                <w:szCs w:val="23"/>
              </w:rPr>
              <w:t>ţării</w:t>
            </w:r>
            <w:proofErr w:type="spellEnd"/>
            <w:r w:rsidRPr="00A574A1">
              <w:rPr>
                <w:rFonts w:ascii="Calibri" w:hAnsi="Calibri"/>
                <w:i/>
                <w:iCs/>
                <w:color w:val="000000"/>
                <w:sz w:val="23"/>
                <w:szCs w:val="23"/>
              </w:rPr>
              <w:t xml:space="preserve"> se manifestă mai </w:t>
            </w:r>
            <w:proofErr w:type="spellStart"/>
            <w:r w:rsidRPr="00A574A1">
              <w:rPr>
                <w:rFonts w:ascii="Calibri" w:hAnsi="Calibri"/>
                <w:i/>
                <w:iCs/>
                <w:color w:val="000000"/>
                <w:sz w:val="23"/>
                <w:szCs w:val="23"/>
              </w:rPr>
              <w:t>pronunţat</w:t>
            </w:r>
            <w:proofErr w:type="spellEnd"/>
            <w:r w:rsidRPr="00A574A1">
              <w:rPr>
                <w:rFonts w:ascii="Calibri" w:hAnsi="Calibri"/>
                <w:i/>
                <w:iCs/>
                <w:color w:val="000000"/>
                <w:sz w:val="23"/>
                <w:szCs w:val="23"/>
              </w:rPr>
              <w:t xml:space="preserve"> </w:t>
            </w:r>
            <w:proofErr w:type="spellStart"/>
            <w:r w:rsidRPr="00A574A1">
              <w:rPr>
                <w:rFonts w:ascii="Calibri" w:hAnsi="Calibri"/>
                <w:i/>
                <w:iCs/>
                <w:color w:val="000000"/>
                <w:sz w:val="23"/>
                <w:szCs w:val="23"/>
              </w:rPr>
              <w:t>influenţe</w:t>
            </w:r>
            <w:proofErr w:type="spellEnd"/>
            <w:r w:rsidRPr="00A574A1">
              <w:rPr>
                <w:rFonts w:ascii="Calibri" w:hAnsi="Calibri"/>
                <w:i/>
                <w:iCs/>
                <w:color w:val="000000"/>
                <w:sz w:val="23"/>
                <w:szCs w:val="23"/>
              </w:rPr>
              <w:t xml:space="preserve"> ale sistemelor de joasă presiune, generate deasupra Atlanticului, ceea ce determina temperaturi mai moderate </w:t>
            </w:r>
            <w:proofErr w:type="spellStart"/>
            <w:r w:rsidRPr="00A574A1">
              <w:rPr>
                <w:rFonts w:ascii="Calibri" w:hAnsi="Calibri"/>
                <w:i/>
                <w:iCs/>
                <w:color w:val="000000"/>
                <w:sz w:val="23"/>
                <w:szCs w:val="23"/>
              </w:rPr>
              <w:t>şi</w:t>
            </w:r>
            <w:proofErr w:type="spellEnd"/>
            <w:r w:rsidRPr="00A574A1">
              <w:rPr>
                <w:rFonts w:ascii="Calibri" w:hAnsi="Calibri"/>
                <w:i/>
                <w:iCs/>
                <w:color w:val="000000"/>
                <w:sz w:val="23"/>
                <w:szCs w:val="23"/>
              </w:rPr>
              <w:t xml:space="preserve"> </w:t>
            </w:r>
            <w:proofErr w:type="spellStart"/>
            <w:r w:rsidRPr="00A574A1">
              <w:rPr>
                <w:rFonts w:ascii="Calibri" w:hAnsi="Calibri"/>
                <w:i/>
                <w:iCs/>
                <w:color w:val="000000"/>
                <w:sz w:val="23"/>
                <w:szCs w:val="23"/>
              </w:rPr>
              <w:t>precipitaţii</w:t>
            </w:r>
            <w:proofErr w:type="spellEnd"/>
            <w:r w:rsidRPr="00A574A1">
              <w:rPr>
                <w:rFonts w:ascii="Calibri" w:hAnsi="Calibri"/>
                <w:i/>
                <w:iCs/>
                <w:color w:val="000000"/>
                <w:sz w:val="23"/>
                <w:szCs w:val="23"/>
              </w:rPr>
              <w:t xml:space="preserve"> mai bogate. Nuanțările climatice se manifesta si pe treptele altitudinale, în masivele muntoase ale arcului carpatic fiind prezent climatul montan răcoros, cu umezeală mare în tot timpul anului. </w:t>
            </w:r>
          </w:p>
          <w:p w14:paraId="53D46CEB" w14:textId="77777777" w:rsidR="00A574A1" w:rsidRPr="00A574A1" w:rsidRDefault="00A574A1" w:rsidP="00084AC3">
            <w:pPr>
              <w:spacing w:before="0" w:after="0"/>
              <w:jc w:val="both"/>
              <w:rPr>
                <w:rFonts w:ascii="Calibri" w:hAnsi="Calibri"/>
                <w:i/>
                <w:iCs/>
                <w:color w:val="000000"/>
                <w:sz w:val="23"/>
                <w:szCs w:val="23"/>
              </w:rPr>
            </w:pPr>
            <w:r w:rsidRPr="00A574A1">
              <w:rPr>
                <w:rFonts w:ascii="Calibri" w:hAnsi="Calibri"/>
                <w:i/>
                <w:iCs/>
                <w:color w:val="000000"/>
                <w:sz w:val="23"/>
                <w:szCs w:val="23"/>
              </w:rPr>
              <w:t>Ținând cont de faptul ca investițiile vor fi finanțate la nivel național, există anumite riscuri  fizice legate de climă, care ar putea fi semnificative pentru această măsură. În acest sens, beneficiarii au obligația să se asigure că sistemele tehnice ale clădirilor din clădirile renovate/construite sunt optimizate, pentru a oferi confort termic ocupanților, chiar și în temperaturile extreme respective. Prin urmare, nu există dovezi privind efecte negative semnificative directe și indirecte primare ale măsurii pe întreaga durată a ciclului său de viață asupra acestui obiectiv de mediu.</w:t>
            </w:r>
          </w:p>
          <w:p w14:paraId="602D5C55" w14:textId="17635262" w:rsidR="00961984" w:rsidRPr="00084AC3" w:rsidRDefault="00A574A1" w:rsidP="00084AC3">
            <w:pPr>
              <w:pStyle w:val="Default"/>
              <w:rPr>
                <w:i/>
                <w:iCs/>
                <w:sz w:val="23"/>
                <w:szCs w:val="23"/>
              </w:rPr>
            </w:pPr>
            <w:r w:rsidRPr="00084AC3">
              <w:rPr>
                <w:i/>
                <w:iCs/>
                <w:sz w:val="23"/>
                <w:szCs w:val="23"/>
              </w:rPr>
              <w:t>De asemenea, pentru investițiile din cadrul acestei intervenții  se va asigura faptul că acestea dispun de ultimele tehnologii în domeniu, astfel încât impactul asupra mediului să fie unul cât mai redus.</w:t>
            </w:r>
          </w:p>
        </w:tc>
      </w:tr>
      <w:tr w:rsidR="0080491A" w14:paraId="2F5361D6" w14:textId="77777777" w:rsidTr="00961984">
        <w:tc>
          <w:tcPr>
            <w:tcW w:w="3604" w:type="dxa"/>
          </w:tcPr>
          <w:p w14:paraId="13CEBFC5" w14:textId="77777777" w:rsidR="0080491A" w:rsidRPr="00B70811" w:rsidRDefault="0080491A" w:rsidP="00084AC3">
            <w:pPr>
              <w:pStyle w:val="Default"/>
              <w:rPr>
                <w:i/>
                <w:iCs/>
                <w:sz w:val="23"/>
                <w:szCs w:val="23"/>
              </w:rPr>
            </w:pPr>
            <w:r w:rsidRPr="00B70811">
              <w:rPr>
                <w:i/>
                <w:iCs/>
                <w:sz w:val="23"/>
                <w:szCs w:val="23"/>
              </w:rPr>
              <w:t xml:space="preserve">Tranziția către o economie circulară, inclusiv prevenirea </w:t>
            </w:r>
            <w:r w:rsidRPr="00B70811">
              <w:rPr>
                <w:i/>
                <w:iCs/>
                <w:sz w:val="23"/>
                <w:szCs w:val="23"/>
              </w:rPr>
              <w:lastRenderedPageBreak/>
              <w:t>generării de deșeuri și reciclarea acestora:</w:t>
            </w:r>
          </w:p>
          <w:p w14:paraId="7D9FAD0C" w14:textId="77777777" w:rsidR="0080491A" w:rsidRPr="00B70811" w:rsidRDefault="0080491A" w:rsidP="00084AC3">
            <w:pPr>
              <w:pStyle w:val="Default"/>
              <w:rPr>
                <w:i/>
                <w:iCs/>
                <w:sz w:val="23"/>
                <w:szCs w:val="23"/>
              </w:rPr>
            </w:pPr>
            <w:r w:rsidRPr="00B70811">
              <w:rPr>
                <w:i/>
                <w:iCs/>
                <w:sz w:val="23"/>
                <w:szCs w:val="23"/>
              </w:rPr>
              <w:t>Se preconizează că măsura:</w:t>
            </w:r>
          </w:p>
          <w:p w14:paraId="71BEA64F" w14:textId="77777777" w:rsidR="0080491A" w:rsidRPr="00B70811" w:rsidRDefault="0080491A" w:rsidP="00084AC3">
            <w:pPr>
              <w:pStyle w:val="Default"/>
              <w:rPr>
                <w:i/>
                <w:iCs/>
                <w:sz w:val="23"/>
                <w:szCs w:val="23"/>
              </w:rPr>
            </w:pPr>
            <w:r w:rsidRPr="00B70811">
              <w:rPr>
                <w:i/>
                <w:iCs/>
                <w:sz w:val="23"/>
                <w:szCs w:val="23"/>
              </w:rPr>
              <w:t xml:space="preserve"> (i) va duce la o creștere semnificativă a generării, a incinerării sau a eliminării deșeurilor, cu excepția incinerării deșeurilor periculoase nereciclabile sau</w:t>
            </w:r>
          </w:p>
          <w:p w14:paraId="39FF15C4" w14:textId="77777777" w:rsidR="0080491A" w:rsidRPr="00B70811" w:rsidRDefault="0080491A" w:rsidP="00084AC3">
            <w:pPr>
              <w:pStyle w:val="Default"/>
              <w:rPr>
                <w:i/>
                <w:iCs/>
                <w:sz w:val="23"/>
                <w:szCs w:val="23"/>
              </w:rPr>
            </w:pPr>
            <w:r w:rsidRPr="00B70811">
              <w:rPr>
                <w:i/>
                <w:iCs/>
                <w:sz w:val="23"/>
                <w:szCs w:val="23"/>
              </w:rPr>
              <w:t>(ii) va duce la ineficiențe semnificative în utilizarea directă sau indirectă a oricăror resurse naturale în orice etapă a ciclului său de viață, care nu sunt reduse la minimum prin măsuri adecvate sau</w:t>
            </w:r>
          </w:p>
          <w:p w14:paraId="6546B2BF" w14:textId="09F2DDCB" w:rsidR="0080491A" w:rsidRPr="00084AC3" w:rsidRDefault="0080491A" w:rsidP="00084AC3">
            <w:pPr>
              <w:pStyle w:val="Default"/>
              <w:rPr>
                <w:i/>
                <w:iCs/>
                <w:sz w:val="23"/>
                <w:szCs w:val="23"/>
              </w:rPr>
            </w:pPr>
            <w:r w:rsidRPr="00084AC3">
              <w:rPr>
                <w:i/>
                <w:iCs/>
                <w:sz w:val="23"/>
                <w:szCs w:val="23"/>
              </w:rPr>
              <w:t>(iii) va cauza prejudicii semnificative și pe termen lung mediului în ceea ce privește economia circulară?</w:t>
            </w:r>
          </w:p>
        </w:tc>
        <w:tc>
          <w:tcPr>
            <w:tcW w:w="489" w:type="dxa"/>
          </w:tcPr>
          <w:p w14:paraId="26418BA6" w14:textId="24647C47" w:rsidR="0080491A" w:rsidRPr="00084AC3" w:rsidRDefault="00E20E20" w:rsidP="00084AC3">
            <w:pPr>
              <w:pStyle w:val="Default"/>
              <w:rPr>
                <w:i/>
                <w:iCs/>
                <w:sz w:val="23"/>
                <w:szCs w:val="23"/>
              </w:rPr>
            </w:pPr>
            <w:r>
              <w:rPr>
                <w:i/>
                <w:iCs/>
                <w:sz w:val="23"/>
                <w:szCs w:val="23"/>
              </w:rPr>
              <w:lastRenderedPageBreak/>
              <w:t>X</w:t>
            </w:r>
          </w:p>
        </w:tc>
        <w:tc>
          <w:tcPr>
            <w:tcW w:w="10284" w:type="dxa"/>
          </w:tcPr>
          <w:p w14:paraId="72860782" w14:textId="77777777" w:rsidR="0080491A" w:rsidRPr="00084AC3" w:rsidRDefault="0080491A" w:rsidP="00084AC3">
            <w:pPr>
              <w:pStyle w:val="Default"/>
              <w:rPr>
                <w:i/>
                <w:iCs/>
                <w:sz w:val="23"/>
                <w:szCs w:val="23"/>
              </w:rPr>
            </w:pPr>
            <w:r w:rsidRPr="00084AC3">
              <w:rPr>
                <w:i/>
                <w:iCs/>
                <w:sz w:val="23"/>
                <w:szCs w:val="23"/>
              </w:rPr>
              <w:t xml:space="preserve">Măsura impune operatorilor economici care efectuează lucrări de renovare a clădirilor să se asigure că cel puțin 70 % (în greutate) din deșeurile nepericuloase provenite din activități de construcție și demolări (cu </w:t>
            </w:r>
            <w:r w:rsidRPr="00084AC3">
              <w:rPr>
                <w:i/>
                <w:iCs/>
                <w:sz w:val="23"/>
                <w:szCs w:val="23"/>
              </w:rPr>
              <w:lastRenderedPageBreak/>
              <w:t>excepția materialelor naturale menționate în categoria 17 05 04 din lista europeană a deșeurilor stabilită prin Decizia 2000/532/CE) și generate pe șantier vor fi pregătite pentru reutilizare, reciclare și alte operațiuni de valorificare materială, inclusiv operațiuni de umplere care utilizează deșeuri pentru a înlocui alte materiale, în conformitate cu ierarhia deșeurilor și cu Protocolul UE de gestionare a deșeurilor din construcții și demolări. Operatorii trebuie să limiteze generarea de deșeuri în procesele aferente construcției și demolării, în conformitate cu Protocolul UE pentru gestionarea deșeurilor din construcții și demolări și luând în considerare cele mai bune tehnici disponibile și folosind demolarea selectivă pentru a permite îndepărtarea și manipularea în siguranță a substanțelor periculoase și pentru a facilita reutilizarea și reciclarea de înaltă calitate prin îndepărtarea selectivă a materialelor, utilizând sistemele de sortare disponibile pentru deșeurile din construcții și demolări.</w:t>
            </w:r>
          </w:p>
          <w:p w14:paraId="1ADAEFCE" w14:textId="77777777" w:rsidR="0080491A" w:rsidRPr="00084AC3" w:rsidRDefault="0080491A" w:rsidP="00084AC3">
            <w:pPr>
              <w:pStyle w:val="Default"/>
              <w:rPr>
                <w:i/>
                <w:iCs/>
                <w:sz w:val="23"/>
                <w:szCs w:val="23"/>
              </w:rPr>
            </w:pPr>
            <w:r w:rsidRPr="00084AC3">
              <w:rPr>
                <w:i/>
                <w:iCs/>
                <w:sz w:val="23"/>
                <w:szCs w:val="23"/>
              </w:rPr>
              <w:t>Pentru echipamentele destinate producției de energie din surse regenerabile care pot fi instalate, măsura poate include specificații tehnice în ceea ce privește durabilitatea și potențialul lor de reparare și de reciclare. În special, operatorii vor limita generarea de deșeuri în procesele aferente construcțiilor și demolărilor, în conformitate cu Protocolul UE de gestionare a deșeurilor din construcții și demolări. Proiectarea clădirilor și tehnicile de construcție vor sprijini circularitatea și, în special, vor demonstra, în conformitate cu ISO 20887 sau cu alte standarde de evaluare a caracteristicilor de dezasamblare sau a adaptabilității clădirilor, modul în care sunt proiectate astfel încât să fie mai eficiente din punctul de vedere al utilizării resurselor, adaptabile, flexibile și demontabile pentru a permite reutilizarea și reciclarea.</w:t>
            </w:r>
          </w:p>
          <w:p w14:paraId="5C2E62C3" w14:textId="77777777" w:rsidR="0080491A" w:rsidRPr="00084AC3" w:rsidRDefault="0080491A" w:rsidP="00084AC3">
            <w:pPr>
              <w:pStyle w:val="Default"/>
              <w:rPr>
                <w:i/>
                <w:iCs/>
                <w:sz w:val="23"/>
                <w:szCs w:val="23"/>
              </w:rPr>
            </w:pPr>
            <w:r w:rsidRPr="00084AC3">
              <w:rPr>
                <w:i/>
                <w:iCs/>
                <w:sz w:val="23"/>
                <w:szCs w:val="23"/>
              </w:rPr>
              <w:t xml:space="preserve">Se vor respecta normele privind reciclarea, selectarea colectivă si cea aferentă deșeurilor medicale generate ulterior finalizării investițiilor în conformitate cu prevederile legislației naționale aplicabile în vigoare. </w:t>
            </w:r>
          </w:p>
          <w:p w14:paraId="7A8FC421" w14:textId="77777777" w:rsidR="0080491A" w:rsidRPr="00084AC3" w:rsidRDefault="0080491A" w:rsidP="00084AC3">
            <w:pPr>
              <w:pStyle w:val="Default"/>
              <w:rPr>
                <w:i/>
                <w:iCs/>
                <w:sz w:val="23"/>
                <w:szCs w:val="23"/>
              </w:rPr>
            </w:pPr>
            <w:r w:rsidRPr="00084AC3">
              <w:rPr>
                <w:i/>
                <w:iCs/>
                <w:sz w:val="23"/>
                <w:szCs w:val="23"/>
              </w:rPr>
              <w:t>În ceea ce privește echipamentele medicale achiziționate, acestea vor respecta ultimele cerințe de pe piață. Referitor la echipamentele medicale care vor fi înlocuite, în cazul în care acest lucru este posibil, unitățile sanitare/furnizorii de servicii medicale vor realiza demersurile necesare reciclării acestora.</w:t>
            </w:r>
          </w:p>
          <w:p w14:paraId="78641867" w14:textId="77777777" w:rsidR="0080491A" w:rsidRPr="00084AC3" w:rsidRDefault="0080491A" w:rsidP="00084AC3">
            <w:pPr>
              <w:pStyle w:val="Default"/>
              <w:rPr>
                <w:i/>
                <w:iCs/>
                <w:sz w:val="23"/>
                <w:szCs w:val="23"/>
              </w:rPr>
            </w:pPr>
            <w:r w:rsidRPr="00084AC3">
              <w:rPr>
                <w:i/>
                <w:iCs/>
                <w:sz w:val="23"/>
                <w:szCs w:val="23"/>
              </w:rPr>
              <w:t>Vehiculele electrice care vor fi achiziționate vor fi:</w:t>
            </w:r>
          </w:p>
          <w:p w14:paraId="33090F58" w14:textId="1292886B" w:rsidR="0080491A" w:rsidRPr="00084AC3" w:rsidRDefault="0080491A" w:rsidP="007D0117">
            <w:pPr>
              <w:pStyle w:val="Default"/>
              <w:numPr>
                <w:ilvl w:val="0"/>
                <w:numId w:val="11"/>
              </w:numPr>
              <w:rPr>
                <w:i/>
                <w:iCs/>
                <w:sz w:val="23"/>
                <w:szCs w:val="23"/>
              </w:rPr>
            </w:pPr>
            <w:r w:rsidRPr="00084AC3">
              <w:rPr>
                <w:i/>
                <w:iCs/>
                <w:sz w:val="23"/>
                <w:szCs w:val="23"/>
              </w:rPr>
              <w:t>refolosibile sau reciclabile în proporție de minimum 85 % din greutate pe vehicul;</w:t>
            </w:r>
          </w:p>
          <w:p w14:paraId="7D9E7A68" w14:textId="12798E03" w:rsidR="0080491A" w:rsidRPr="00084AC3" w:rsidRDefault="0080491A" w:rsidP="007D0117">
            <w:pPr>
              <w:pStyle w:val="Default"/>
              <w:numPr>
                <w:ilvl w:val="0"/>
                <w:numId w:val="11"/>
              </w:numPr>
              <w:rPr>
                <w:i/>
                <w:iCs/>
                <w:sz w:val="23"/>
                <w:szCs w:val="23"/>
              </w:rPr>
            </w:pPr>
            <w:r w:rsidRPr="00084AC3">
              <w:rPr>
                <w:i/>
                <w:iCs/>
                <w:sz w:val="23"/>
                <w:szCs w:val="23"/>
              </w:rPr>
              <w:t>refolosibile sau recuperabile în proporție de minimum 95 % din greutate pe vehicul.</w:t>
            </w:r>
          </w:p>
          <w:p w14:paraId="3B971D7F" w14:textId="2EE99D30" w:rsidR="0080491A" w:rsidRPr="00084AC3" w:rsidRDefault="0080491A" w:rsidP="007D0117">
            <w:pPr>
              <w:pStyle w:val="Default"/>
              <w:rPr>
                <w:i/>
                <w:iCs/>
                <w:sz w:val="23"/>
                <w:szCs w:val="23"/>
              </w:rPr>
            </w:pPr>
            <w:r w:rsidRPr="00084AC3">
              <w:rPr>
                <w:i/>
                <w:iCs/>
                <w:sz w:val="23"/>
                <w:szCs w:val="23"/>
              </w:rPr>
              <w:t xml:space="preserve">Se vor lua măsuri pentru gestionarea deșeurilor atât în ​​faza de folosire (întreținere), cât și la sfârșitul duratei de viață a flotei, inclusiv prin refolosirea și reciclarea bateriilor și a componentelor electronice (în special a materiilor prime critice din acestea), în conformitate cu ierarhia deșeurilor. </w:t>
            </w:r>
          </w:p>
        </w:tc>
      </w:tr>
      <w:tr w:rsidR="0080491A" w14:paraId="2352648B" w14:textId="77777777" w:rsidTr="00961984">
        <w:tc>
          <w:tcPr>
            <w:tcW w:w="3604" w:type="dxa"/>
          </w:tcPr>
          <w:p w14:paraId="17ADCAC1" w14:textId="1B28CC14" w:rsidR="0080491A" w:rsidRPr="00084AC3" w:rsidRDefault="00BD2364" w:rsidP="00084AC3">
            <w:pPr>
              <w:pStyle w:val="Default"/>
              <w:rPr>
                <w:i/>
                <w:iCs/>
                <w:sz w:val="23"/>
                <w:szCs w:val="23"/>
              </w:rPr>
            </w:pPr>
            <w:r w:rsidRPr="00084AC3">
              <w:rPr>
                <w:i/>
                <w:iCs/>
                <w:sz w:val="23"/>
                <w:szCs w:val="23"/>
              </w:rPr>
              <w:lastRenderedPageBreak/>
              <w:t xml:space="preserve">Prevenirea și controlul poluării: Se preconizează că măsura va duce la </w:t>
            </w:r>
            <w:r w:rsidRPr="00084AC3">
              <w:rPr>
                <w:i/>
                <w:iCs/>
                <w:sz w:val="23"/>
                <w:szCs w:val="23"/>
              </w:rPr>
              <w:lastRenderedPageBreak/>
              <w:t>o creștere semnificativă a emisiilor de poluanți în aer, apă sau sol?</w:t>
            </w:r>
          </w:p>
        </w:tc>
        <w:tc>
          <w:tcPr>
            <w:tcW w:w="489" w:type="dxa"/>
          </w:tcPr>
          <w:p w14:paraId="0147FCB9" w14:textId="3E006D76" w:rsidR="0080491A" w:rsidRPr="00084AC3" w:rsidRDefault="00E20E20" w:rsidP="00084AC3">
            <w:pPr>
              <w:pStyle w:val="Default"/>
              <w:rPr>
                <w:i/>
                <w:iCs/>
                <w:sz w:val="23"/>
                <w:szCs w:val="23"/>
              </w:rPr>
            </w:pPr>
            <w:r>
              <w:rPr>
                <w:i/>
                <w:iCs/>
                <w:sz w:val="23"/>
                <w:szCs w:val="23"/>
              </w:rPr>
              <w:lastRenderedPageBreak/>
              <w:t>X</w:t>
            </w:r>
          </w:p>
        </w:tc>
        <w:tc>
          <w:tcPr>
            <w:tcW w:w="10284" w:type="dxa"/>
          </w:tcPr>
          <w:p w14:paraId="341B2A3D" w14:textId="77777777" w:rsidR="00084AC3" w:rsidRPr="00084AC3" w:rsidRDefault="00084AC3" w:rsidP="007D0117">
            <w:pPr>
              <w:spacing w:before="0" w:after="0"/>
              <w:jc w:val="both"/>
              <w:rPr>
                <w:rFonts w:ascii="Calibri" w:hAnsi="Calibri"/>
                <w:i/>
                <w:iCs/>
                <w:color w:val="000000"/>
                <w:sz w:val="23"/>
                <w:szCs w:val="23"/>
              </w:rPr>
            </w:pPr>
            <w:r w:rsidRPr="00084AC3">
              <w:rPr>
                <w:rFonts w:ascii="Calibri" w:hAnsi="Calibri"/>
                <w:i/>
                <w:iCs/>
                <w:color w:val="000000"/>
                <w:sz w:val="23"/>
                <w:szCs w:val="23"/>
              </w:rPr>
              <w:t xml:space="preserve">Nu se preconizează că măsura va duce la o creștere semnificativă a emisiilor de poluanți în aer, apă sau sol. </w:t>
            </w:r>
          </w:p>
          <w:p w14:paraId="11303151" w14:textId="77777777" w:rsidR="00084AC3" w:rsidRPr="00084AC3" w:rsidRDefault="00084AC3" w:rsidP="007D0117">
            <w:pPr>
              <w:spacing w:before="0" w:after="0"/>
              <w:jc w:val="both"/>
              <w:rPr>
                <w:rFonts w:ascii="Calibri" w:hAnsi="Calibri"/>
                <w:i/>
                <w:iCs/>
                <w:color w:val="000000"/>
                <w:sz w:val="23"/>
                <w:szCs w:val="23"/>
              </w:rPr>
            </w:pPr>
            <w:r w:rsidRPr="00084AC3">
              <w:rPr>
                <w:rFonts w:ascii="Calibri" w:hAnsi="Calibri"/>
                <w:i/>
                <w:iCs/>
                <w:color w:val="000000"/>
                <w:sz w:val="23"/>
                <w:szCs w:val="23"/>
              </w:rPr>
              <w:t>Operatorii care efectuează lucrările:</w:t>
            </w:r>
          </w:p>
          <w:p w14:paraId="00E0AB06" w14:textId="77777777" w:rsidR="00084AC3" w:rsidRPr="00084AC3" w:rsidRDefault="00084AC3" w:rsidP="007D0117">
            <w:pPr>
              <w:spacing w:before="0" w:after="0"/>
              <w:jc w:val="both"/>
              <w:rPr>
                <w:rFonts w:ascii="Calibri" w:hAnsi="Calibri"/>
                <w:i/>
                <w:iCs/>
                <w:color w:val="000000"/>
                <w:sz w:val="23"/>
                <w:szCs w:val="23"/>
              </w:rPr>
            </w:pPr>
            <w:r w:rsidRPr="00084AC3">
              <w:rPr>
                <w:rFonts w:ascii="Calibri" w:hAnsi="Calibri"/>
                <w:i/>
                <w:iCs/>
                <w:color w:val="000000"/>
                <w:sz w:val="23"/>
                <w:szCs w:val="23"/>
              </w:rPr>
              <w:lastRenderedPageBreak/>
              <w:t>- au obligația de a se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p>
          <w:p w14:paraId="460DBA4E" w14:textId="77777777" w:rsidR="00084AC3" w:rsidRPr="00084AC3" w:rsidRDefault="00084AC3" w:rsidP="007D0117">
            <w:pPr>
              <w:spacing w:before="0" w:after="0"/>
              <w:jc w:val="both"/>
              <w:rPr>
                <w:rFonts w:ascii="Calibri" w:hAnsi="Calibri"/>
                <w:i/>
                <w:iCs/>
                <w:color w:val="000000"/>
                <w:sz w:val="23"/>
                <w:szCs w:val="23"/>
              </w:rPr>
            </w:pPr>
            <w:r w:rsidRPr="00084AC3">
              <w:rPr>
                <w:rFonts w:ascii="Calibri" w:hAnsi="Calibri"/>
                <w:i/>
                <w:iCs/>
                <w:color w:val="000000"/>
                <w:sz w:val="23"/>
                <w:szCs w:val="23"/>
              </w:rPr>
              <w:t>- trebuie să se asigure că componentele și materialele de construcție utilizate în renovarea clădirii, care pot intra în contact cu ocupanții, emit mai puțin de 0,06 mg de formaldehidă pe m3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14:paraId="17B113DD" w14:textId="77777777" w:rsidR="00084AC3" w:rsidRPr="00084AC3" w:rsidRDefault="00084AC3" w:rsidP="007D0117">
            <w:pPr>
              <w:spacing w:before="0" w:after="0"/>
              <w:jc w:val="both"/>
              <w:rPr>
                <w:rFonts w:ascii="Calibri" w:hAnsi="Calibri"/>
                <w:i/>
                <w:iCs/>
                <w:color w:val="000000"/>
                <w:sz w:val="23"/>
                <w:szCs w:val="23"/>
              </w:rPr>
            </w:pPr>
            <w:r w:rsidRPr="00084AC3">
              <w:rPr>
                <w:rFonts w:ascii="Calibri" w:hAnsi="Calibri"/>
                <w:i/>
                <w:iCs/>
                <w:color w:val="000000"/>
                <w:sz w:val="23"/>
                <w:szCs w:val="23"/>
              </w:rPr>
              <w:t>- să ia măsuri pentru reducerea zgomotului, a prafului și a emisiilor poluante în timpul lucrărilor de renovare.</w:t>
            </w:r>
          </w:p>
          <w:p w14:paraId="7F53B5D6" w14:textId="77777777" w:rsidR="00084AC3" w:rsidRPr="00084AC3" w:rsidRDefault="00084AC3" w:rsidP="007D0117">
            <w:pPr>
              <w:spacing w:before="0" w:after="0"/>
              <w:jc w:val="both"/>
              <w:rPr>
                <w:rFonts w:ascii="Calibri" w:hAnsi="Calibri"/>
                <w:i/>
                <w:iCs/>
                <w:color w:val="000000"/>
                <w:sz w:val="23"/>
                <w:szCs w:val="23"/>
              </w:rPr>
            </w:pPr>
            <w:r w:rsidRPr="00084AC3">
              <w:rPr>
                <w:rFonts w:ascii="Calibri" w:hAnsi="Calibri"/>
                <w:i/>
                <w:iCs/>
                <w:color w:val="000000"/>
                <w:sz w:val="23"/>
                <w:szCs w:val="23"/>
              </w:rPr>
              <w:t>Vehiculele respectă cele mai recente cerințe aplicabile omologării pentru emisiile provenind de la vehiculele ușoare de tip Euro VI, stabilite în conformitate cu Regulamentul (CE) nr. 715/2007.</w:t>
            </w:r>
          </w:p>
          <w:p w14:paraId="4973C78E" w14:textId="77777777" w:rsidR="00084AC3" w:rsidRPr="00084AC3" w:rsidRDefault="00084AC3" w:rsidP="007D0117">
            <w:pPr>
              <w:spacing w:before="0" w:after="0"/>
              <w:jc w:val="both"/>
              <w:rPr>
                <w:rFonts w:ascii="Calibri" w:hAnsi="Calibri"/>
                <w:i/>
                <w:iCs/>
                <w:color w:val="000000"/>
                <w:sz w:val="23"/>
                <w:szCs w:val="23"/>
              </w:rPr>
            </w:pPr>
            <w:r w:rsidRPr="00084AC3">
              <w:rPr>
                <w:rFonts w:ascii="Calibri" w:hAnsi="Calibri"/>
                <w:i/>
                <w:iCs/>
                <w:color w:val="000000"/>
                <w:sz w:val="23"/>
                <w:szCs w:val="23"/>
              </w:rPr>
              <w:t>Vehiculele respectă pragurile de emisie pentru vehiculele ușoare curate, stabilite în tabelul 2 din anexa la Directiva 2009/33 /CE a Parlamentului European și a Consiliului.</w:t>
            </w:r>
          </w:p>
          <w:p w14:paraId="79BB7351" w14:textId="77777777" w:rsidR="00084AC3" w:rsidRPr="00084AC3" w:rsidRDefault="00084AC3" w:rsidP="007D0117">
            <w:pPr>
              <w:spacing w:before="0" w:after="0"/>
              <w:jc w:val="both"/>
              <w:rPr>
                <w:rFonts w:ascii="Calibri" w:hAnsi="Calibri"/>
                <w:i/>
                <w:iCs/>
                <w:color w:val="000000"/>
                <w:sz w:val="23"/>
                <w:szCs w:val="23"/>
              </w:rPr>
            </w:pPr>
            <w:r w:rsidRPr="00084AC3">
              <w:rPr>
                <w:rFonts w:ascii="Calibri" w:hAnsi="Calibri"/>
                <w:i/>
                <w:iCs/>
                <w:color w:val="000000"/>
                <w:sz w:val="23"/>
                <w:szCs w:val="23"/>
              </w:rPr>
              <w:t>Pentru vehiculele rutiere încadrate în clasa M și N, se va asigura că anvelopele respectă cerințele privind zgomotul exterior la rulare și coeficientul de rezistență la rulare (care influențează eficiența energetică a vehiculului), așa cum sunt stabilite în Regulamentul (UE) 2020/740 și după cum se poate verifica din Registrul european de produse pentru etichetarea energetică (EPREL).</w:t>
            </w:r>
          </w:p>
          <w:p w14:paraId="41B6F7EF" w14:textId="2743D760" w:rsidR="0080491A" w:rsidRPr="00084AC3" w:rsidRDefault="00084AC3" w:rsidP="007D0117">
            <w:pPr>
              <w:pStyle w:val="Default"/>
              <w:rPr>
                <w:i/>
                <w:iCs/>
                <w:sz w:val="23"/>
                <w:szCs w:val="23"/>
              </w:rPr>
            </w:pPr>
            <w:r w:rsidRPr="00084AC3">
              <w:rPr>
                <w:i/>
                <w:iCs/>
                <w:sz w:val="23"/>
                <w:szCs w:val="23"/>
              </w:rPr>
              <w:t>Vehiculele respectă Regulamentul (UE) nr. 540/2014 al Parlamentului European și al Consiliului.</w:t>
            </w:r>
          </w:p>
        </w:tc>
      </w:tr>
    </w:tbl>
    <w:p w14:paraId="3445530C" w14:textId="77777777" w:rsidR="00F9137A" w:rsidRDefault="00F9137A" w:rsidP="00F9137A">
      <w:pPr>
        <w:pStyle w:val="Default"/>
        <w:spacing w:line="360" w:lineRule="auto"/>
        <w:rPr>
          <w:rFonts w:ascii="Trebuchet MS" w:hAnsi="Trebuchet MS"/>
          <w:b/>
          <w:bCs/>
        </w:rPr>
      </w:pPr>
    </w:p>
    <w:p w14:paraId="243CB963" w14:textId="77777777" w:rsidR="0095172D" w:rsidRDefault="0095172D" w:rsidP="00CC76C7">
      <w:pPr>
        <w:pStyle w:val="Default"/>
        <w:spacing w:line="360" w:lineRule="auto"/>
        <w:rPr>
          <w:rFonts w:ascii="Trebuchet MS" w:hAnsi="Trebuchet MS"/>
          <w:b/>
          <w:bCs/>
        </w:rPr>
      </w:pPr>
    </w:p>
    <w:p w14:paraId="1FCF903E" w14:textId="1AC57596" w:rsidR="000125BD" w:rsidRPr="00CC76C7" w:rsidRDefault="000125BD" w:rsidP="00CC76C7">
      <w:pPr>
        <w:pStyle w:val="Default"/>
        <w:spacing w:line="360" w:lineRule="auto"/>
        <w:rPr>
          <w:rFonts w:ascii="Trebuchet MS" w:hAnsi="Trebuchet MS"/>
        </w:rPr>
      </w:pPr>
      <w:r w:rsidRPr="00CC76C7">
        <w:rPr>
          <w:rFonts w:ascii="Trebuchet MS" w:hAnsi="Trebuchet MS"/>
          <w:b/>
          <w:bCs/>
        </w:rPr>
        <w:t xml:space="preserve">Reprezentant legal </w:t>
      </w:r>
    </w:p>
    <w:p w14:paraId="78DD4B4C" w14:textId="77777777" w:rsidR="000125BD" w:rsidRPr="00CC76C7" w:rsidRDefault="000125BD" w:rsidP="00CC76C7">
      <w:pPr>
        <w:pStyle w:val="Default"/>
        <w:spacing w:line="360" w:lineRule="auto"/>
        <w:rPr>
          <w:rFonts w:ascii="Trebuchet MS" w:hAnsi="Trebuchet MS"/>
        </w:rPr>
      </w:pPr>
      <w:r w:rsidRPr="00CC76C7">
        <w:rPr>
          <w:rFonts w:ascii="Trebuchet MS" w:hAnsi="Trebuchet MS"/>
        </w:rPr>
        <w:t xml:space="preserve">Nume și prenume ................................................................. </w:t>
      </w:r>
    </w:p>
    <w:p w14:paraId="4E0DE874" w14:textId="5C9EAC53" w:rsidR="008B7885" w:rsidRPr="00CC76C7" w:rsidRDefault="000125BD" w:rsidP="00CC76C7">
      <w:pPr>
        <w:spacing w:before="0" w:after="0" w:line="360" w:lineRule="auto"/>
        <w:rPr>
          <w:sz w:val="24"/>
        </w:rPr>
      </w:pPr>
      <w:r w:rsidRPr="00CC76C7">
        <w:rPr>
          <w:sz w:val="24"/>
        </w:rPr>
        <w:t>Dată ................................................</w:t>
      </w:r>
    </w:p>
    <w:sectPr w:rsidR="008B7885" w:rsidRPr="00CC76C7" w:rsidSect="00901F28">
      <w:headerReference w:type="default" r:id="rId8"/>
      <w:footerReference w:type="default" r:id="rId9"/>
      <w:pgSz w:w="16838" w:h="11906" w:orient="landscape"/>
      <w:pgMar w:top="1729" w:right="1276" w:bottom="1440" w:left="1134" w:header="123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C39C8" w14:textId="77777777" w:rsidR="000E141B" w:rsidRDefault="000E141B">
      <w:r>
        <w:separator/>
      </w:r>
    </w:p>
  </w:endnote>
  <w:endnote w:type="continuationSeparator" w:id="0">
    <w:p w14:paraId="5CF47801" w14:textId="77777777" w:rsidR="000E141B" w:rsidRDefault="000E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B963" w14:textId="77777777" w:rsidR="0072374A" w:rsidRPr="00C4288C" w:rsidRDefault="0072374A" w:rsidP="0072374A">
    <w:pPr>
      <w:pStyle w:val="Subsol"/>
      <w:jc w:val="right"/>
      <w:rPr>
        <w:rFonts w:ascii="Calibri" w:hAnsi="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39D00" w14:textId="77777777" w:rsidR="000E141B" w:rsidRDefault="000E141B">
      <w:r>
        <w:separator/>
      </w:r>
    </w:p>
  </w:footnote>
  <w:footnote w:type="continuationSeparator" w:id="0">
    <w:p w14:paraId="315CF4F8" w14:textId="77777777" w:rsidR="000E141B" w:rsidRDefault="000E1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4BCB" w14:textId="50AC5849" w:rsidR="00A93297" w:rsidRDefault="00555439" w:rsidP="00FB74A0">
    <w:pPr>
      <w:pStyle w:val="Antet"/>
      <w:tabs>
        <w:tab w:val="clear" w:pos="4320"/>
        <w:tab w:val="clear" w:pos="8640"/>
        <w:tab w:val="left" w:pos="5645"/>
      </w:tabs>
    </w:pPr>
    <w:r>
      <w:rPr>
        <w:noProof/>
        <w:sz w:val="20"/>
        <w:szCs w:val="20"/>
      </w:rPr>
      <w:drawing>
        <wp:anchor distT="0" distB="0" distL="114300" distR="114300" simplePos="0" relativeHeight="251659264" behindDoc="0" locked="0" layoutInCell="1" allowOverlap="1" wp14:anchorId="7EC3D3AA" wp14:editId="2F476471">
          <wp:simplePos x="0" y="0"/>
          <wp:positionH relativeFrom="column">
            <wp:posOffset>971550</wp:posOffset>
          </wp:positionH>
          <wp:positionV relativeFrom="paragraph">
            <wp:posOffset>-695325</wp:posOffset>
          </wp:positionV>
          <wp:extent cx="7480300" cy="878205"/>
          <wp:effectExtent l="0" t="0" r="6350" b="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0" cy="8782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567"/>
    <w:multiLevelType w:val="hybridMultilevel"/>
    <w:tmpl w:val="A4FA75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59028B"/>
    <w:multiLevelType w:val="multilevel"/>
    <w:tmpl w:val="2A4625A6"/>
    <w:lvl w:ilvl="0">
      <w:start w:val="1"/>
      <w:numFmt w:val="upperRoman"/>
      <w:pStyle w:val="Titlu1"/>
      <w:lvlText w:val="Secţiunea %1."/>
      <w:lvlJc w:val="left"/>
      <w:pPr>
        <w:tabs>
          <w:tab w:val="num" w:pos="2160"/>
        </w:tabs>
        <w:ind w:left="0" w:firstLine="0"/>
      </w:pPr>
      <w:rPr>
        <w:rFonts w:hint="default"/>
        <w:i w:val="0"/>
        <w:iCs w:val="0"/>
        <w:caps w:val="0"/>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lu2"/>
      <w:lvlText w:val="%1.%2."/>
      <w:lvlJc w:val="left"/>
      <w:pPr>
        <w:tabs>
          <w:tab w:val="num" w:pos="0"/>
        </w:tabs>
        <w:ind w:left="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B8E7C0D"/>
    <w:multiLevelType w:val="hybridMultilevel"/>
    <w:tmpl w:val="EE724A80"/>
    <w:lvl w:ilvl="0" w:tplc="04180015">
      <w:start w:val="1"/>
      <w:numFmt w:val="upperLetter"/>
      <w:lvlText w:val="%1."/>
      <w:lvlJc w:val="lef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FF62B7"/>
    <w:multiLevelType w:val="hybridMultilevel"/>
    <w:tmpl w:val="9014CABC"/>
    <w:lvl w:ilvl="0" w:tplc="04090005">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9C26DAB"/>
    <w:multiLevelType w:val="hybridMultilevel"/>
    <w:tmpl w:val="1A2ED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E4023C2"/>
    <w:multiLevelType w:val="hybridMultilevel"/>
    <w:tmpl w:val="EF205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C20A39"/>
    <w:multiLevelType w:val="hybridMultilevel"/>
    <w:tmpl w:val="077C9B6E"/>
    <w:lvl w:ilvl="0" w:tplc="343EAEDE">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797493D"/>
    <w:multiLevelType w:val="hybridMultilevel"/>
    <w:tmpl w:val="F8BA79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70E2FAA"/>
    <w:multiLevelType w:val="multilevel"/>
    <w:tmpl w:val="774E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551172"/>
    <w:multiLevelType w:val="hybridMultilevel"/>
    <w:tmpl w:val="116EF9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7740405">
    <w:abstractNumId w:val="1"/>
  </w:num>
  <w:num w:numId="2" w16cid:durableId="625820284">
    <w:abstractNumId w:val="1"/>
  </w:num>
  <w:num w:numId="3" w16cid:durableId="566961179">
    <w:abstractNumId w:val="2"/>
  </w:num>
  <w:num w:numId="4" w16cid:durableId="351958288">
    <w:abstractNumId w:val="3"/>
  </w:num>
  <w:num w:numId="5" w16cid:durableId="1935749891">
    <w:abstractNumId w:val="5"/>
  </w:num>
  <w:num w:numId="6" w16cid:durableId="931401038">
    <w:abstractNumId w:val="9"/>
  </w:num>
  <w:num w:numId="7" w16cid:durableId="1554123903">
    <w:abstractNumId w:val="0"/>
  </w:num>
  <w:num w:numId="8" w16cid:durableId="43256679">
    <w:abstractNumId w:val="4"/>
  </w:num>
  <w:num w:numId="9" w16cid:durableId="765148913">
    <w:abstractNumId w:val="7"/>
  </w:num>
  <w:num w:numId="10" w16cid:durableId="1473211618">
    <w:abstractNumId w:val="8"/>
  </w:num>
  <w:num w:numId="11" w16cid:durableId="1551572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72"/>
    <w:rsid w:val="00001F7C"/>
    <w:rsid w:val="00006D4E"/>
    <w:rsid w:val="000125BD"/>
    <w:rsid w:val="000200C2"/>
    <w:rsid w:val="00021404"/>
    <w:rsid w:val="000635B7"/>
    <w:rsid w:val="00071D29"/>
    <w:rsid w:val="000770F1"/>
    <w:rsid w:val="00083CF3"/>
    <w:rsid w:val="00084AC3"/>
    <w:rsid w:val="00094457"/>
    <w:rsid w:val="000946E7"/>
    <w:rsid w:val="000C4E75"/>
    <w:rsid w:val="000D0D0B"/>
    <w:rsid w:val="000E141B"/>
    <w:rsid w:val="000E6504"/>
    <w:rsid w:val="000E7DB8"/>
    <w:rsid w:val="00127E6C"/>
    <w:rsid w:val="0013672F"/>
    <w:rsid w:val="00161949"/>
    <w:rsid w:val="001C360B"/>
    <w:rsid w:val="001E3877"/>
    <w:rsid w:val="001E5A3B"/>
    <w:rsid w:val="001F2C83"/>
    <w:rsid w:val="0021268F"/>
    <w:rsid w:val="00212D3C"/>
    <w:rsid w:val="00217327"/>
    <w:rsid w:val="00226557"/>
    <w:rsid w:val="00241AAD"/>
    <w:rsid w:val="00253710"/>
    <w:rsid w:val="00284EB1"/>
    <w:rsid w:val="00285BCA"/>
    <w:rsid w:val="00285F44"/>
    <w:rsid w:val="002A0813"/>
    <w:rsid w:val="002A6068"/>
    <w:rsid w:val="002F7EBE"/>
    <w:rsid w:val="0030218D"/>
    <w:rsid w:val="0030451B"/>
    <w:rsid w:val="00353EDB"/>
    <w:rsid w:val="003765CE"/>
    <w:rsid w:val="00382A68"/>
    <w:rsid w:val="003E4926"/>
    <w:rsid w:val="003F0EAA"/>
    <w:rsid w:val="0043341F"/>
    <w:rsid w:val="0043499C"/>
    <w:rsid w:val="0045405B"/>
    <w:rsid w:val="00484AAF"/>
    <w:rsid w:val="004A3726"/>
    <w:rsid w:val="004D0B4F"/>
    <w:rsid w:val="004E7B16"/>
    <w:rsid w:val="004F47EA"/>
    <w:rsid w:val="004F7B6E"/>
    <w:rsid w:val="00501134"/>
    <w:rsid w:val="00516487"/>
    <w:rsid w:val="00523C8A"/>
    <w:rsid w:val="005463E1"/>
    <w:rsid w:val="00555439"/>
    <w:rsid w:val="005572D2"/>
    <w:rsid w:val="00567FA5"/>
    <w:rsid w:val="005E3051"/>
    <w:rsid w:val="006060D4"/>
    <w:rsid w:val="00634750"/>
    <w:rsid w:val="00666FBF"/>
    <w:rsid w:val="00681103"/>
    <w:rsid w:val="00681D12"/>
    <w:rsid w:val="0068405B"/>
    <w:rsid w:val="00693D05"/>
    <w:rsid w:val="006C6CB4"/>
    <w:rsid w:val="006E76E3"/>
    <w:rsid w:val="006F19E0"/>
    <w:rsid w:val="0072374A"/>
    <w:rsid w:val="00742C32"/>
    <w:rsid w:val="00787033"/>
    <w:rsid w:val="007C7669"/>
    <w:rsid w:val="007D0117"/>
    <w:rsid w:val="007E5D44"/>
    <w:rsid w:val="0080491A"/>
    <w:rsid w:val="00807270"/>
    <w:rsid w:val="00815732"/>
    <w:rsid w:val="00826090"/>
    <w:rsid w:val="008346F6"/>
    <w:rsid w:val="008748DA"/>
    <w:rsid w:val="00892F89"/>
    <w:rsid w:val="008A2FF8"/>
    <w:rsid w:val="008A485D"/>
    <w:rsid w:val="008A7D13"/>
    <w:rsid w:val="008B7885"/>
    <w:rsid w:val="008D0060"/>
    <w:rsid w:val="008D2EDE"/>
    <w:rsid w:val="008D7DD2"/>
    <w:rsid w:val="008E0416"/>
    <w:rsid w:val="00900F5D"/>
    <w:rsid w:val="00901F28"/>
    <w:rsid w:val="009025B3"/>
    <w:rsid w:val="0090484E"/>
    <w:rsid w:val="009141B6"/>
    <w:rsid w:val="00935794"/>
    <w:rsid w:val="00947750"/>
    <w:rsid w:val="0095172D"/>
    <w:rsid w:val="00961984"/>
    <w:rsid w:val="00970118"/>
    <w:rsid w:val="0097742C"/>
    <w:rsid w:val="009A1674"/>
    <w:rsid w:val="009B6375"/>
    <w:rsid w:val="009C0890"/>
    <w:rsid w:val="009E1D3E"/>
    <w:rsid w:val="00A108FA"/>
    <w:rsid w:val="00A30484"/>
    <w:rsid w:val="00A46655"/>
    <w:rsid w:val="00A574A1"/>
    <w:rsid w:val="00A7681F"/>
    <w:rsid w:val="00A80251"/>
    <w:rsid w:val="00A92267"/>
    <w:rsid w:val="00A93297"/>
    <w:rsid w:val="00AA1245"/>
    <w:rsid w:val="00AB1283"/>
    <w:rsid w:val="00AB2E38"/>
    <w:rsid w:val="00AF472C"/>
    <w:rsid w:val="00B051A5"/>
    <w:rsid w:val="00B14306"/>
    <w:rsid w:val="00B1551E"/>
    <w:rsid w:val="00B306E3"/>
    <w:rsid w:val="00B3618E"/>
    <w:rsid w:val="00B43102"/>
    <w:rsid w:val="00B52E80"/>
    <w:rsid w:val="00B55866"/>
    <w:rsid w:val="00B70811"/>
    <w:rsid w:val="00B71F54"/>
    <w:rsid w:val="00B80749"/>
    <w:rsid w:val="00B84631"/>
    <w:rsid w:val="00B85EAA"/>
    <w:rsid w:val="00B9258F"/>
    <w:rsid w:val="00B9648E"/>
    <w:rsid w:val="00B97B79"/>
    <w:rsid w:val="00BA1455"/>
    <w:rsid w:val="00BA34B3"/>
    <w:rsid w:val="00BA5651"/>
    <w:rsid w:val="00BB1791"/>
    <w:rsid w:val="00BD2364"/>
    <w:rsid w:val="00BD736E"/>
    <w:rsid w:val="00C063DE"/>
    <w:rsid w:val="00C14841"/>
    <w:rsid w:val="00C4288C"/>
    <w:rsid w:val="00C70A72"/>
    <w:rsid w:val="00C7294C"/>
    <w:rsid w:val="00C8344B"/>
    <w:rsid w:val="00CA67FD"/>
    <w:rsid w:val="00CC76C7"/>
    <w:rsid w:val="00D23849"/>
    <w:rsid w:val="00D401E7"/>
    <w:rsid w:val="00D51859"/>
    <w:rsid w:val="00D626F5"/>
    <w:rsid w:val="00D9362C"/>
    <w:rsid w:val="00D959F4"/>
    <w:rsid w:val="00DB03E0"/>
    <w:rsid w:val="00DB7782"/>
    <w:rsid w:val="00DD2706"/>
    <w:rsid w:val="00DE02FD"/>
    <w:rsid w:val="00DE79EE"/>
    <w:rsid w:val="00E20E20"/>
    <w:rsid w:val="00E21F9E"/>
    <w:rsid w:val="00E24256"/>
    <w:rsid w:val="00E4257B"/>
    <w:rsid w:val="00E61A16"/>
    <w:rsid w:val="00E6697D"/>
    <w:rsid w:val="00E81C7D"/>
    <w:rsid w:val="00E94952"/>
    <w:rsid w:val="00EA02D8"/>
    <w:rsid w:val="00EA3316"/>
    <w:rsid w:val="00EB2759"/>
    <w:rsid w:val="00EB585C"/>
    <w:rsid w:val="00EC3BA3"/>
    <w:rsid w:val="00EC7152"/>
    <w:rsid w:val="00F04891"/>
    <w:rsid w:val="00F21D60"/>
    <w:rsid w:val="00F25E33"/>
    <w:rsid w:val="00F7571E"/>
    <w:rsid w:val="00F76C67"/>
    <w:rsid w:val="00F8165A"/>
    <w:rsid w:val="00F9137A"/>
    <w:rsid w:val="00FB06A4"/>
    <w:rsid w:val="00FB5D06"/>
    <w:rsid w:val="00FB74A0"/>
    <w:rsid w:val="00FC5BB0"/>
    <w:rsid w:val="00FD46D0"/>
    <w:rsid w:val="00FE0E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383B3"/>
  <w15:docId w15:val="{84CDF745-42C3-4107-8E21-C6D35499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rebuchet MS" w:hAnsi="Trebuchet MS"/>
      <w:sz w:val="18"/>
      <w:szCs w:val="24"/>
      <w:lang w:eastAsia="en-US"/>
    </w:rPr>
  </w:style>
  <w:style w:type="paragraph" w:styleId="Titlu1">
    <w:name w:val="heading 1"/>
    <w:basedOn w:val="Normal"/>
    <w:next w:val="Normal"/>
    <w:qFormat/>
    <w:pPr>
      <w:keepNext/>
      <w:numPr>
        <w:numId w:val="2"/>
      </w:numPr>
      <w:pBdr>
        <w:bottom w:val="single" w:sz="4" w:space="1" w:color="808080"/>
      </w:pBdr>
      <w:spacing w:before="240" w:after="600"/>
      <w:outlineLvl w:val="0"/>
    </w:pPr>
    <w:rPr>
      <w:rFonts w:cs="Arial"/>
      <w:b/>
      <w:bCs/>
      <w:caps/>
      <w:spacing w:val="-10"/>
      <w:kern w:val="32"/>
      <w:sz w:val="36"/>
      <w:szCs w:val="32"/>
      <w:lang w:eastAsia="ro-RO"/>
    </w:rPr>
  </w:style>
  <w:style w:type="paragraph" w:styleId="Titlu2">
    <w:name w:val="heading 2"/>
    <w:aliases w:val="Heading 2 Char1,Heading 2 Char Char,Nadpis_2,AB,Numbered - 2,Sub He..."/>
    <w:basedOn w:val="Normal"/>
    <w:next w:val="Normal"/>
    <w:qFormat/>
    <w:pPr>
      <w:keepNext/>
      <w:numPr>
        <w:ilvl w:val="1"/>
        <w:numId w:val="2"/>
      </w:numPr>
      <w:spacing w:before="240" w:after="240"/>
      <w:outlineLvl w:val="1"/>
    </w:pPr>
    <w:rPr>
      <w:rFonts w:cs="Arial"/>
      <w:b/>
      <w:bCs/>
      <w:iCs/>
      <w:sz w:val="28"/>
      <w:szCs w:val="28"/>
      <w:lang w:eastAsia="ro-RO"/>
    </w:rPr>
  </w:style>
  <w:style w:type="paragraph" w:styleId="Titlu3">
    <w:name w:val="heading 3"/>
    <w:aliases w:val="Podpodkapitola,adpis 3,Heading 3 Char,KopCat. 3,Numbered - 3"/>
    <w:basedOn w:val="Normal"/>
    <w:next w:val="Normal"/>
    <w:qFormat/>
    <w:pPr>
      <w:keepNext/>
      <w:spacing w:before="240" w:after="60"/>
      <w:outlineLvl w:val="2"/>
    </w:pPr>
    <w:rPr>
      <w:rFonts w:cs="Arial"/>
      <w:b/>
      <w:bCs/>
      <w:sz w:val="26"/>
      <w:szCs w:val="26"/>
      <w:lang w:eastAsia="ro-RO"/>
    </w:rPr>
  </w:style>
  <w:style w:type="paragraph" w:styleId="Titlu4">
    <w:name w:val="heading 4"/>
    <w:basedOn w:val="Normal"/>
    <w:next w:val="Normal"/>
    <w:qFormat/>
    <w:pPr>
      <w:keepNext/>
      <w:jc w:val="both"/>
      <w:outlineLvl w:val="3"/>
    </w:pPr>
    <w:rPr>
      <w:b/>
      <w:bCs/>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pPr>
      <w:tabs>
        <w:tab w:val="center" w:pos="4320"/>
        <w:tab w:val="right" w:pos="8640"/>
      </w:tabs>
    </w:pPr>
  </w:style>
  <w:style w:type="character" w:styleId="Hyperlink">
    <w:name w:val="Hyperlink"/>
    <w:semiHidden/>
    <w:rPr>
      <w:b/>
      <w:bCs/>
      <w:color w:val="333399"/>
      <w:u w:val="single"/>
    </w:rPr>
  </w:style>
  <w:style w:type="paragraph" w:styleId="Subsol">
    <w:name w:val="footer"/>
    <w:basedOn w:val="Normal"/>
    <w:link w:val="SubsolCaracter"/>
    <w:uiPriority w:val="99"/>
    <w:pPr>
      <w:tabs>
        <w:tab w:val="center" w:pos="4320"/>
        <w:tab w:val="right" w:pos="8640"/>
      </w:tabs>
    </w:pPr>
  </w:style>
  <w:style w:type="paragraph" w:styleId="Textnotdesubsol">
    <w:name w:val="footnote text"/>
    <w:aliases w:val="Footnote Text Char Char,Footnote Text Char,Fußnote,single space,footnote text,FOOTNOTES,fn,Podrozdział,Footnote,stile 1,Footnote1,Footnote2,Footnote3,Footnote4,Footnote5,Footnote6,Footnote7,Footnote8,Footnote9,Footnote10,Footnote11"/>
    <w:basedOn w:val="Normal"/>
    <w:semiHidden/>
    <w:rPr>
      <w:sz w:val="16"/>
      <w:szCs w:val="20"/>
    </w:rPr>
  </w:style>
  <w:style w:type="character" w:styleId="Referinnotdesubsol">
    <w:name w:val="footnote reference"/>
    <w:aliases w:val="Footnote symbol"/>
    <w:semiHidden/>
    <w:rPr>
      <w:vertAlign w:val="superscript"/>
    </w:rPr>
  </w:style>
  <w:style w:type="paragraph" w:styleId="Plandocument">
    <w:name w:val="Document Map"/>
    <w:basedOn w:val="Normal"/>
    <w:semiHidden/>
    <w:pPr>
      <w:shd w:val="clear" w:color="auto" w:fill="000080"/>
    </w:pPr>
    <w:rPr>
      <w:rFonts w:ascii="Tahoma" w:hAnsi="Tahoma" w:cs="Tahoma"/>
    </w:rPr>
  </w:style>
  <w:style w:type="paragraph" w:customStyle="1" w:styleId="Glosar">
    <w:name w:val="Glosar"/>
    <w:basedOn w:val="Normal"/>
    <w:pPr>
      <w:spacing w:before="240"/>
    </w:pPr>
    <w:rPr>
      <w:b/>
    </w:rPr>
  </w:style>
  <w:style w:type="character" w:styleId="HyperlinkParcurs">
    <w:name w:val="FollowedHyperlink"/>
    <w:uiPriority w:val="99"/>
    <w:semiHidden/>
    <w:unhideWhenUsed/>
    <w:rsid w:val="00B3618E"/>
    <w:rPr>
      <w:color w:val="954F72"/>
      <w:u w:val="single"/>
    </w:rPr>
  </w:style>
  <w:style w:type="paragraph" w:styleId="Textnotdefinal">
    <w:name w:val="endnote text"/>
    <w:basedOn w:val="Normal"/>
    <w:link w:val="TextnotdefinalCaracter"/>
    <w:uiPriority w:val="99"/>
    <w:semiHidden/>
    <w:unhideWhenUsed/>
    <w:rsid w:val="0043499C"/>
    <w:rPr>
      <w:sz w:val="20"/>
      <w:szCs w:val="20"/>
    </w:rPr>
  </w:style>
  <w:style w:type="character" w:customStyle="1" w:styleId="TextnotdefinalCaracter">
    <w:name w:val="Text notă de final Caracter"/>
    <w:link w:val="Textnotdefinal"/>
    <w:uiPriority w:val="99"/>
    <w:semiHidden/>
    <w:rsid w:val="0043499C"/>
    <w:rPr>
      <w:rFonts w:ascii="Trebuchet MS" w:hAnsi="Trebuchet MS"/>
      <w:lang w:eastAsia="en-US"/>
    </w:rPr>
  </w:style>
  <w:style w:type="character" w:styleId="Referinnotdefinal">
    <w:name w:val="endnote reference"/>
    <w:uiPriority w:val="99"/>
    <w:semiHidden/>
    <w:unhideWhenUsed/>
    <w:rsid w:val="0043499C"/>
    <w:rPr>
      <w:vertAlign w:val="superscript"/>
    </w:rPr>
  </w:style>
  <w:style w:type="character" w:customStyle="1" w:styleId="SubsolCaracter">
    <w:name w:val="Subsol Caracter"/>
    <w:link w:val="Subsol"/>
    <w:uiPriority w:val="99"/>
    <w:rsid w:val="0072374A"/>
    <w:rPr>
      <w:rFonts w:ascii="Trebuchet MS" w:hAnsi="Trebuchet MS"/>
      <w:sz w:val="18"/>
      <w:szCs w:val="24"/>
      <w:lang w:eastAsia="en-US"/>
    </w:rPr>
  </w:style>
  <w:style w:type="table" w:styleId="Tabelgril">
    <w:name w:val="Table Grid"/>
    <w:basedOn w:val="TabelNormal"/>
    <w:uiPriority w:val="39"/>
    <w:rsid w:val="00A932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etCaracter">
    <w:name w:val="Antet Caracter"/>
    <w:link w:val="Antet"/>
    <w:rsid w:val="00A93297"/>
    <w:rPr>
      <w:rFonts w:ascii="Trebuchet MS" w:hAnsi="Trebuchet MS"/>
      <w:sz w:val="18"/>
      <w:szCs w:val="24"/>
      <w:lang w:eastAsia="en-US"/>
    </w:rPr>
  </w:style>
  <w:style w:type="character" w:styleId="Textsubstituent">
    <w:name w:val="Placeholder Text"/>
    <w:basedOn w:val="Fontdeparagrafimplicit"/>
    <w:uiPriority w:val="99"/>
    <w:semiHidden/>
    <w:rsid w:val="00B97B79"/>
    <w:rPr>
      <w:color w:val="808080"/>
    </w:rPr>
  </w:style>
  <w:style w:type="paragraph" w:styleId="TextnBalon">
    <w:name w:val="Balloon Text"/>
    <w:basedOn w:val="Normal"/>
    <w:link w:val="TextnBalonCaracter"/>
    <w:uiPriority w:val="99"/>
    <w:semiHidden/>
    <w:unhideWhenUsed/>
    <w:rsid w:val="000E7DB8"/>
    <w:pPr>
      <w:spacing w:before="0" w:after="0"/>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E7DB8"/>
    <w:rPr>
      <w:rFonts w:ascii="Tahoma" w:hAnsi="Tahoma" w:cs="Tahoma"/>
      <w:sz w:val="16"/>
      <w:szCs w:val="16"/>
      <w:lang w:eastAsia="en-US"/>
    </w:rPr>
  </w:style>
  <w:style w:type="paragraph" w:customStyle="1" w:styleId="instruct">
    <w:name w:val="instruct"/>
    <w:basedOn w:val="Normal"/>
    <w:rsid w:val="00FB74A0"/>
    <w:pPr>
      <w:widowControl w:val="0"/>
      <w:autoSpaceDE w:val="0"/>
      <w:autoSpaceDN w:val="0"/>
      <w:adjustRightInd w:val="0"/>
      <w:spacing w:before="40" w:after="40"/>
    </w:pPr>
    <w:rPr>
      <w:rFonts w:cs="Arial"/>
      <w:i/>
      <w:iCs/>
      <w:sz w:val="20"/>
      <w:szCs w:val="21"/>
      <w:lang w:eastAsia="sk-SK"/>
    </w:rPr>
  </w:style>
  <w:style w:type="paragraph" w:styleId="Revizuire">
    <w:name w:val="Revision"/>
    <w:hidden/>
    <w:uiPriority w:val="99"/>
    <w:semiHidden/>
    <w:rsid w:val="001C360B"/>
    <w:rPr>
      <w:rFonts w:ascii="Trebuchet MS" w:hAnsi="Trebuchet MS"/>
      <w:sz w:val="18"/>
      <w:szCs w:val="24"/>
      <w:lang w:eastAsia="en-US"/>
    </w:rPr>
  </w:style>
  <w:style w:type="paragraph" w:customStyle="1" w:styleId="Default">
    <w:name w:val="Default"/>
    <w:rsid w:val="000125B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50A91-7F31-4992-97BA-A7A7F5A7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5</Pages>
  <Words>1907</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FRINCU</dc:creator>
  <cp:lastModifiedBy>Bogdan Sticlosu</cp:lastModifiedBy>
  <cp:revision>65</cp:revision>
  <cp:lastPrinted>2022-01-31T08:30:00Z</cp:lastPrinted>
  <dcterms:created xsi:type="dcterms:W3CDTF">2022-01-27T08:13:00Z</dcterms:created>
  <dcterms:modified xsi:type="dcterms:W3CDTF">2022-07-05T11:07:00Z</dcterms:modified>
</cp:coreProperties>
</file>