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7BE99" w14:textId="1949CAA1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5842F42F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 xml:space="preserve">Investiției specifică: </w:t>
      </w:r>
      <w:r w:rsidR="009C545E" w:rsidRPr="009C545E">
        <w:rPr>
          <w:rFonts w:ascii="Trebuchet MS" w:hAnsi="Trebuchet MS"/>
        </w:rPr>
        <w:t>I1.5: Cabinete de planificare familială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 xml:space="preserve"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F728C08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ofertei </w:t>
      </w:r>
      <w:r w:rsidR="008B3F04">
        <w:rPr>
          <w:rFonts w:ascii="Trebuchet MS" w:hAnsi="Trebuchet MS"/>
        </w:rPr>
        <w:t xml:space="preserve">pentru </w:t>
      </w:r>
      <w:r w:rsidR="00C72E9D">
        <w:rPr>
          <w:rFonts w:ascii="Trebuchet MS" w:hAnsi="Trebuchet MS"/>
        </w:rPr>
        <w:t>realizarea renovării.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00EC1DE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5. În cadrul procedurilor de </w:t>
      </w:r>
      <w:proofErr w:type="spellStart"/>
      <w:r w:rsidRPr="00C02CAC">
        <w:rPr>
          <w:rFonts w:ascii="Trebuchet MS" w:hAnsi="Trebuchet MS"/>
        </w:rPr>
        <w:t>achiziţie</w:t>
      </w:r>
      <w:proofErr w:type="spellEnd"/>
      <w:r w:rsidRPr="00C02CAC">
        <w:rPr>
          <w:rFonts w:ascii="Trebuchet MS" w:hAnsi="Trebuchet MS"/>
        </w:rPr>
        <w:t xml:space="preserve"> pentru </w:t>
      </w:r>
      <w:r w:rsidR="009C793E">
        <w:rPr>
          <w:rFonts w:ascii="Trebuchet MS" w:hAnsi="Trebuchet MS"/>
        </w:rPr>
        <w:t>serviciile de renovare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corespunzător 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</w:t>
      </w:r>
      <w:r w:rsidRPr="00C02CAC">
        <w:rPr>
          <w:rFonts w:ascii="Trebuchet MS" w:hAnsi="Trebuchet MS"/>
        </w:rPr>
        <w:lastRenderedPageBreak/>
        <w:t xml:space="preserve">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B1D5" w14:textId="77777777" w:rsidR="009B49A1" w:rsidRDefault="009B49A1">
      <w:r>
        <w:separator/>
      </w:r>
    </w:p>
  </w:endnote>
  <w:endnote w:type="continuationSeparator" w:id="0">
    <w:p w14:paraId="53F569F9" w14:textId="77777777" w:rsidR="009B49A1" w:rsidRDefault="009B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D4AFF" w14:textId="77777777" w:rsidR="009B49A1" w:rsidRDefault="009B49A1">
      <w:r>
        <w:separator/>
      </w:r>
    </w:p>
  </w:footnote>
  <w:footnote w:type="continuationSeparator" w:id="0">
    <w:p w14:paraId="74968BF5" w14:textId="77777777" w:rsidR="009B49A1" w:rsidRDefault="009B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30786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8580B"/>
    <w:rsid w:val="004A3726"/>
    <w:rsid w:val="004D0B4F"/>
    <w:rsid w:val="004E7B16"/>
    <w:rsid w:val="004F47EA"/>
    <w:rsid w:val="00501134"/>
    <w:rsid w:val="00516487"/>
    <w:rsid w:val="005215C5"/>
    <w:rsid w:val="00523C8A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2C32"/>
    <w:rsid w:val="00750597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49A1"/>
    <w:rsid w:val="009B6375"/>
    <w:rsid w:val="009C0890"/>
    <w:rsid w:val="009C545E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A720B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7E9A"/>
    <w:rsid w:val="00CC0FE7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1798-7160-4386-89B2-2167113D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2</cp:revision>
  <cp:lastPrinted>2022-01-31T08:30:00Z</cp:lastPrinted>
  <dcterms:created xsi:type="dcterms:W3CDTF">2023-02-28T07:29:00Z</dcterms:created>
  <dcterms:modified xsi:type="dcterms:W3CDTF">2023-02-28T07:29:00Z</dcterms:modified>
</cp:coreProperties>
</file>